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5E9" w:rsidRDefault="00F127DC">
      <w:pPr>
        <w:pStyle w:val="ae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MTEquationSection"/>
        </w:rPr>
        <w:instrText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bookmarkStart w:id="0" w:name="_Hlk533328020"/>
      <w:r>
        <w:rPr>
          <w:rFonts w:cs="Arial"/>
          <w:bCs/>
          <w:sz w:val="22"/>
          <w:szCs w:val="22"/>
          <w:lang w:eastAsia="zh-CN"/>
        </w:rPr>
        <w:t xml:space="preserve">3GPP TSG RAN WG1 </w:t>
      </w:r>
      <w:r>
        <w:rPr>
          <w:rFonts w:cs="Arial" w:hint="eastAsia"/>
          <w:bCs/>
          <w:sz w:val="22"/>
          <w:szCs w:val="22"/>
          <w:lang w:eastAsia="zh-CN"/>
        </w:rPr>
        <w:t xml:space="preserve">#96bis                                                           </w:t>
      </w:r>
      <w:r>
        <w:rPr>
          <w:rFonts w:cs="Arial" w:hint="eastAsia"/>
          <w:bCs/>
          <w:sz w:val="22"/>
          <w:szCs w:val="22"/>
          <w:lang w:eastAsia="zh-CN"/>
        </w:rPr>
        <w:t xml:space="preserve">                  R1-1904151</w:t>
      </w:r>
    </w:p>
    <w:bookmarkEnd w:id="0"/>
    <w:p w:rsidR="009E75E9" w:rsidRDefault="00F127DC">
      <w:pPr>
        <w:pStyle w:val="ae"/>
        <w:snapToGrid w:val="0"/>
        <w:spacing w:afterLines="50" w:after="180" w:line="240" w:lineRule="auto"/>
        <w:rPr>
          <w:sz w:val="20"/>
          <w:szCs w:val="22"/>
          <w:lang w:eastAsia="ja-JP"/>
        </w:rPr>
      </w:pPr>
      <w:r>
        <w:rPr>
          <w:rFonts w:hint="eastAsia"/>
          <w:sz w:val="20"/>
          <w:szCs w:val="22"/>
          <w:lang w:eastAsia="ja-JP"/>
        </w:rPr>
        <w:t>Xi’an, China, 8</w:t>
      </w:r>
      <w:r>
        <w:rPr>
          <w:rFonts w:hint="eastAsia"/>
          <w:sz w:val="20"/>
          <w:szCs w:val="22"/>
          <w:vertAlign w:val="superscript"/>
          <w:lang w:eastAsia="ja-JP"/>
        </w:rPr>
        <w:t>th</w:t>
      </w:r>
      <w:r>
        <w:rPr>
          <w:rFonts w:hint="eastAsia"/>
          <w:sz w:val="20"/>
          <w:szCs w:val="22"/>
          <w:lang w:eastAsia="ja-JP"/>
        </w:rPr>
        <w:t xml:space="preserve"> – 12</w:t>
      </w:r>
      <w:r>
        <w:rPr>
          <w:rFonts w:hint="eastAsia"/>
          <w:sz w:val="20"/>
          <w:szCs w:val="22"/>
          <w:vertAlign w:val="superscript"/>
          <w:lang w:eastAsia="ja-JP"/>
        </w:rPr>
        <w:t>th</w:t>
      </w:r>
      <w:r>
        <w:rPr>
          <w:rFonts w:hint="eastAsia"/>
          <w:sz w:val="20"/>
          <w:szCs w:val="22"/>
          <w:lang w:eastAsia="ja-JP"/>
        </w:rPr>
        <w:t xml:space="preserve"> April, 2019</w:t>
      </w:r>
    </w:p>
    <w:p w:rsidR="009E75E9" w:rsidRDefault="00F127DC">
      <w:pPr>
        <w:pStyle w:val="ae"/>
        <w:overflowPunct/>
        <w:autoSpaceDE/>
        <w:autoSpaceDN/>
        <w:adjustRightInd/>
        <w:snapToGrid w:val="0"/>
        <w:spacing w:after="0" w:line="240" w:lineRule="exact"/>
        <w:jc w:val="left"/>
        <w:textAlignment w:val="auto"/>
        <w:rPr>
          <w:rFonts w:eastAsia="Batang"/>
          <w:sz w:val="20"/>
          <w:szCs w:val="21"/>
          <w:lang w:val="en-GB"/>
        </w:rPr>
      </w:pPr>
      <w:r>
        <w:rPr>
          <w:rFonts w:eastAsia="Batang"/>
          <w:sz w:val="20"/>
          <w:szCs w:val="21"/>
          <w:lang w:val="en-GB"/>
        </w:rPr>
        <w:t>Source:</w:t>
      </w:r>
      <w:r>
        <w:rPr>
          <w:rFonts w:eastAsia="Batang" w:hint="eastAsia"/>
          <w:sz w:val="20"/>
          <w:szCs w:val="21"/>
          <w:lang w:val="en-GB"/>
        </w:rPr>
        <w:tab/>
      </w:r>
      <w:r>
        <w:rPr>
          <w:rFonts w:eastAsia="Batang"/>
          <w:sz w:val="20"/>
          <w:szCs w:val="21"/>
          <w:lang w:val="en-GB"/>
        </w:rPr>
        <w:t>ZTE</w:t>
      </w:r>
      <w:r>
        <w:rPr>
          <w:rFonts w:eastAsia="Batang" w:hint="eastAsia"/>
          <w:sz w:val="20"/>
          <w:szCs w:val="21"/>
          <w:lang w:val="en-GB"/>
        </w:rPr>
        <w:t xml:space="preserve"> </w:t>
      </w:r>
    </w:p>
    <w:p w:rsidR="009E75E9" w:rsidRDefault="00F127DC">
      <w:pPr>
        <w:pStyle w:val="ae"/>
        <w:overflowPunct/>
        <w:autoSpaceDE/>
        <w:autoSpaceDN/>
        <w:adjustRightInd/>
        <w:snapToGrid w:val="0"/>
        <w:spacing w:after="0" w:line="240" w:lineRule="exact"/>
        <w:ind w:left="1374" w:hangingChars="700" w:hanging="1374"/>
        <w:jc w:val="left"/>
        <w:textAlignment w:val="auto"/>
        <w:rPr>
          <w:rFonts w:eastAsia="Batang"/>
          <w:sz w:val="20"/>
          <w:szCs w:val="21"/>
          <w:lang w:val="en-GB"/>
        </w:rPr>
      </w:pPr>
      <w:r>
        <w:rPr>
          <w:rFonts w:eastAsia="Batang"/>
          <w:sz w:val="20"/>
          <w:szCs w:val="21"/>
          <w:lang w:val="en-GB"/>
        </w:rPr>
        <w:t>Title:</w:t>
      </w:r>
      <w:r>
        <w:rPr>
          <w:rFonts w:eastAsia="Batang" w:hint="eastAsia"/>
          <w:sz w:val="20"/>
          <w:szCs w:val="21"/>
          <w:lang w:val="en-GB"/>
        </w:rPr>
        <w:tab/>
      </w:r>
      <w:r>
        <w:rPr>
          <w:rFonts w:eastAsia="Batang" w:hint="eastAsia"/>
          <w:sz w:val="20"/>
          <w:szCs w:val="21"/>
          <w:lang w:val="en-GB"/>
        </w:rPr>
        <w:t>Discussion on TSC message periodicity</w:t>
      </w:r>
    </w:p>
    <w:p w:rsidR="009E75E9" w:rsidRDefault="00F127DC">
      <w:pPr>
        <w:pStyle w:val="ae"/>
        <w:overflowPunct/>
        <w:autoSpaceDE/>
        <w:autoSpaceDN/>
        <w:adjustRightInd/>
        <w:snapToGrid w:val="0"/>
        <w:spacing w:after="0" w:line="240" w:lineRule="exact"/>
        <w:jc w:val="left"/>
        <w:textAlignment w:val="auto"/>
        <w:rPr>
          <w:rFonts w:eastAsia="宋体"/>
          <w:sz w:val="20"/>
          <w:szCs w:val="21"/>
          <w:lang w:val="en-GB" w:eastAsia="zh-CN"/>
        </w:rPr>
      </w:pPr>
      <w:r>
        <w:rPr>
          <w:rFonts w:eastAsia="Batang"/>
          <w:sz w:val="20"/>
          <w:szCs w:val="21"/>
          <w:lang w:val="en-GB"/>
        </w:rPr>
        <w:t>Agenda item:</w:t>
      </w:r>
      <w:r>
        <w:rPr>
          <w:rFonts w:eastAsia="Batang" w:hint="eastAsia"/>
          <w:sz w:val="20"/>
          <w:szCs w:val="21"/>
          <w:lang w:val="en-GB"/>
        </w:rPr>
        <w:tab/>
        <w:t>7.2.6.</w:t>
      </w:r>
      <w:r>
        <w:rPr>
          <w:rFonts w:eastAsia="宋体" w:hint="eastAsia"/>
          <w:sz w:val="20"/>
          <w:szCs w:val="21"/>
          <w:lang w:eastAsia="zh-CN"/>
        </w:rPr>
        <w:t>7</w:t>
      </w:r>
    </w:p>
    <w:p w:rsidR="009E75E9" w:rsidRDefault="00F127DC">
      <w:pPr>
        <w:pStyle w:val="ae"/>
        <w:overflowPunct/>
        <w:autoSpaceDE/>
        <w:autoSpaceDN/>
        <w:adjustRightInd/>
        <w:snapToGrid w:val="0"/>
        <w:spacing w:line="240" w:lineRule="exact"/>
        <w:jc w:val="left"/>
        <w:textAlignment w:val="auto"/>
        <w:rPr>
          <w:rFonts w:eastAsia="Batang"/>
          <w:sz w:val="20"/>
          <w:szCs w:val="21"/>
          <w:lang w:val="en-GB"/>
        </w:rPr>
      </w:pPr>
      <w:r>
        <w:rPr>
          <w:rFonts w:eastAsia="Batang"/>
          <w:sz w:val="20"/>
          <w:szCs w:val="21"/>
          <w:lang w:val="en-GB"/>
        </w:rPr>
        <w:t>Document for:</w:t>
      </w:r>
      <w:r>
        <w:rPr>
          <w:rFonts w:eastAsia="Batang" w:hint="eastAsia"/>
          <w:sz w:val="20"/>
          <w:szCs w:val="21"/>
          <w:lang w:val="en-GB"/>
        </w:rPr>
        <w:tab/>
      </w:r>
      <w:r>
        <w:rPr>
          <w:rFonts w:eastAsia="Batang"/>
          <w:sz w:val="20"/>
          <w:szCs w:val="21"/>
          <w:lang w:val="en-GB"/>
        </w:rPr>
        <w:t>Discussion and Decision</w:t>
      </w:r>
    </w:p>
    <w:p w:rsidR="009E75E9" w:rsidRDefault="00F127DC">
      <w:pPr>
        <w:pStyle w:val="1"/>
        <w:snapToGrid w:val="0"/>
        <w:spacing w:beforeLines="0" w:afterLines="50" w:after="180"/>
      </w:pPr>
      <w:r>
        <w:t>I</w:t>
      </w:r>
      <w:r>
        <w:rPr>
          <w:rFonts w:hint="eastAsia"/>
        </w:rPr>
        <w:t>ntroduction</w:t>
      </w:r>
    </w:p>
    <w:p w:rsidR="009E75E9" w:rsidRDefault="00F127DC">
      <w:pPr>
        <w:snapToGrid w:val="0"/>
        <w:spacing w:after="120"/>
        <w:rPr>
          <w:rFonts w:eastAsia="宋体"/>
          <w:szCs w:val="21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>According to</w:t>
      </w:r>
      <w:r>
        <w:rPr>
          <w:rFonts w:eastAsia="宋体"/>
          <w:szCs w:val="21"/>
          <w:lang w:val="en-US" w:eastAsia="zh-CN"/>
        </w:rPr>
        <w:t xml:space="preserve"> </w:t>
      </w:r>
      <w:r>
        <w:rPr>
          <w:rFonts w:eastAsia="宋体" w:hint="eastAsia"/>
          <w:szCs w:val="21"/>
          <w:lang w:val="en-US" w:eastAsia="zh-CN"/>
        </w:rPr>
        <w:t xml:space="preserve">the </w:t>
      </w:r>
      <w:r>
        <w:rPr>
          <w:rFonts w:eastAsia="宋体"/>
          <w:szCs w:val="21"/>
          <w:lang w:val="en-US" w:eastAsia="zh-CN"/>
        </w:rPr>
        <w:t>new WID of NR Industrial Internet of Things</w:t>
      </w:r>
      <w:r>
        <w:rPr>
          <w:rFonts w:eastAsia="宋体"/>
          <w:szCs w:val="21"/>
          <w:lang w:val="en-US" w:eastAsia="zh-CN"/>
        </w:rPr>
        <w:t xml:space="preserve"> (IoT)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val="en-US" w:eastAsia="zh-CN"/>
        </w:rPr>
        <w:t>approved in RAN#83</w:t>
      </w:r>
      <w:r>
        <w:rPr>
          <w:rFonts w:eastAsia="宋体"/>
          <w:szCs w:val="21"/>
          <w:lang w:val="en-US" w:eastAsia="zh-CN"/>
        </w:rPr>
        <w:t>[1]</w:t>
      </w:r>
      <w:r>
        <w:rPr>
          <w:rFonts w:eastAsia="宋体" w:hint="eastAsia"/>
          <w:szCs w:val="21"/>
          <w:lang w:val="en-US" w:eastAsia="zh-CN"/>
        </w:rPr>
        <w:t>,</w:t>
      </w:r>
      <w:r>
        <w:rPr>
          <w:rFonts w:eastAsia="宋体"/>
          <w:szCs w:val="21"/>
          <w:lang w:val="en-US" w:eastAsia="zh-CN"/>
        </w:rPr>
        <w:t xml:space="preserve"> the following objective</w:t>
      </w:r>
      <w:r>
        <w:rPr>
          <w:rFonts w:eastAsia="宋体" w:hint="eastAsia"/>
          <w:szCs w:val="21"/>
          <w:lang w:val="en-US" w:eastAsia="zh-CN"/>
        </w:rPr>
        <w:t>s</w:t>
      </w:r>
      <w:r>
        <w:rPr>
          <w:rFonts w:eastAsia="宋体"/>
          <w:szCs w:val="21"/>
          <w:lang w:val="en-US" w:eastAsia="zh-CN"/>
        </w:rPr>
        <w:t xml:space="preserve"> </w:t>
      </w:r>
      <w:r>
        <w:rPr>
          <w:rFonts w:eastAsia="宋体" w:hint="eastAsia"/>
          <w:szCs w:val="21"/>
          <w:lang w:val="en-US" w:eastAsia="zh-CN"/>
        </w:rPr>
        <w:t xml:space="preserve">related to </w:t>
      </w:r>
      <w:r>
        <w:rPr>
          <w:rFonts w:eastAsia="宋体" w:hint="eastAsia"/>
          <w:lang w:val="en-US" w:eastAsia="zh-CN"/>
        </w:rPr>
        <w:t>TSC message periodicities</w:t>
      </w:r>
      <w:r>
        <w:rPr>
          <w:rFonts w:eastAsia="宋体" w:hint="eastAsia"/>
          <w:szCs w:val="21"/>
          <w:lang w:val="en-US" w:eastAsia="zh-CN"/>
        </w:rPr>
        <w:t xml:space="preserve"> are specified</w:t>
      </w:r>
      <w:r>
        <w:rPr>
          <w:rFonts w:eastAsia="宋体"/>
          <w:szCs w:val="21"/>
          <w:lang w:val="en-US" w:eastAsia="zh-CN"/>
        </w:rPr>
        <w:t>:</w:t>
      </w:r>
    </w:p>
    <w:tbl>
      <w:tblPr>
        <w:tblStyle w:val="af7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9E75E9">
        <w:tc>
          <w:tcPr>
            <w:tcW w:w="9571" w:type="dxa"/>
          </w:tcPr>
          <w:p w:rsidR="009E75E9" w:rsidRDefault="00F127DC">
            <w:pPr>
              <w:numPr>
                <w:ilvl w:val="0"/>
                <w:numId w:val="2"/>
              </w:numPr>
              <w:snapToGrid w:val="0"/>
              <w:spacing w:after="120" w:line="240" w:lineRule="exact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Address support for TSC message periodicities with non-integer multiple of NR supported CG/SPS periodicities, as captured in TR 38.825, section 6.5.2</w:t>
            </w:r>
            <w:r>
              <w:rPr>
                <w:rFonts w:eastAsia="宋体"/>
                <w:lang w:val="en-US" w:eastAsia="zh-CN"/>
              </w:rPr>
              <w:t>. [RAN2, RAN1].</w:t>
            </w:r>
          </w:p>
        </w:tc>
      </w:tr>
    </w:tbl>
    <w:p w:rsidR="009E75E9" w:rsidRDefault="00F127DC">
      <w:pPr>
        <w:snapToGrid w:val="0"/>
        <w:spacing w:beforeLines="50" w:before="180" w:after="120" w:line="24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this contribution, we mainly provide our views on how to a</w:t>
      </w:r>
      <w:r>
        <w:rPr>
          <w:rFonts w:eastAsia="宋体"/>
          <w:lang w:val="en-US" w:eastAsia="zh-CN"/>
        </w:rPr>
        <w:t xml:space="preserve">ddress support </w:t>
      </w:r>
      <w:r>
        <w:rPr>
          <w:rFonts w:eastAsia="宋体" w:hint="eastAsia"/>
          <w:lang w:val="en-US" w:eastAsia="zh-CN"/>
        </w:rPr>
        <w:t xml:space="preserve">of </w:t>
      </w:r>
      <w:r>
        <w:rPr>
          <w:rFonts w:eastAsia="宋体"/>
          <w:lang w:val="en-US" w:eastAsia="zh-CN"/>
        </w:rPr>
        <w:t>TSC message periodicities with non-integer multiple of NR supported CG/SPS periodicities</w:t>
      </w:r>
      <w:r>
        <w:rPr>
          <w:rFonts w:eastAsia="宋体" w:hint="eastAsia"/>
          <w:lang w:val="en-US" w:eastAsia="zh-CN"/>
        </w:rPr>
        <w:t>.</w:t>
      </w:r>
    </w:p>
    <w:p w:rsidR="009E75E9" w:rsidRDefault="00F127DC">
      <w:pPr>
        <w:pStyle w:val="1"/>
        <w:spacing w:before="180"/>
      </w:pPr>
      <w:bookmarkStart w:id="1" w:name="OLE_LINK11"/>
      <w:r>
        <w:rPr>
          <w:rFonts w:hint="eastAsia"/>
          <w:lang w:val="en-US"/>
        </w:rPr>
        <w:t>Discussion</w:t>
      </w:r>
      <w:bookmarkEnd w:id="1"/>
    </w:p>
    <w:p w:rsidR="009E75E9" w:rsidRDefault="00F127DC">
      <w:pPr>
        <w:snapToGrid w:val="0"/>
        <w:spacing w:after="120" w:line="24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As described in the TR 38.825[2], a</w:t>
      </w:r>
      <w:r>
        <w:rPr>
          <w:rFonts w:eastAsia="宋体"/>
          <w:lang w:val="en-US" w:eastAsia="zh-CN"/>
        </w:rPr>
        <w:t xml:space="preserve"> UE may carry deterministic periodic TSC traffic,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and the periodicity of which is not an integer multiple of NR supported </w:t>
      </w:r>
      <w:r>
        <w:rPr>
          <w:rFonts w:eastAsia="宋体" w:hint="eastAsia"/>
          <w:lang w:val="en-US" w:eastAsia="zh-CN"/>
        </w:rPr>
        <w:t>CG/</w:t>
      </w:r>
      <w:r>
        <w:rPr>
          <w:rFonts w:eastAsia="宋体"/>
          <w:lang w:val="en-US" w:eastAsia="zh-CN"/>
        </w:rPr>
        <w:t>SPS periodicities</w:t>
      </w:r>
      <w:r>
        <w:rPr>
          <w:rFonts w:eastAsia="宋体" w:hint="eastAsia"/>
          <w:lang w:val="en-US" w:eastAsia="zh-CN"/>
        </w:rPr>
        <w:t>. For example,</w:t>
      </w:r>
      <w:r>
        <w:rPr>
          <w:rFonts w:eastAsia="宋体"/>
          <w:lang w:val="en-US" w:eastAsia="zh-CN"/>
        </w:rPr>
        <w:t xml:space="preserve"> for 60Hz data transmission frequency, the periodicity will be 16.67ms, which cannot be expressed </w:t>
      </w:r>
      <w:r>
        <w:t>in</w:t>
      </w:r>
      <w:r>
        <w:t xml:space="preserve"> multiple of symbols or multiple of sub-frames</w:t>
      </w:r>
      <w:r w:rsidR="00D61DD4">
        <w:t xml:space="preserve"> </w:t>
      </w:r>
      <w:r>
        <w:rPr>
          <w:rFonts w:eastAsia="宋体"/>
          <w:lang w:val="en-US" w:eastAsia="zh-CN"/>
        </w:rPr>
        <w:t>(e.g. the interval in subframe unit is not a constant, maybe 17 or 16)</w:t>
      </w:r>
      <w:r>
        <w:rPr>
          <w:rFonts w:eastAsia="宋体" w:hint="eastAsia"/>
          <w:lang w:val="en-US" w:eastAsia="zh-CN"/>
        </w:rPr>
        <w:t xml:space="preserve">. This </w:t>
      </w:r>
      <w:r>
        <w:t xml:space="preserve">misalignment </w:t>
      </w:r>
      <w:r>
        <w:rPr>
          <w:rFonts w:eastAsia="宋体" w:hint="eastAsia"/>
          <w:lang w:val="en-US" w:eastAsia="zh-CN"/>
        </w:rPr>
        <w:t xml:space="preserve">would increase the air latency. For example, if the period is set to 16ms, the second occasion for </w:t>
      </w:r>
      <w:r>
        <w:rPr>
          <w:rFonts w:eastAsia="宋体" w:hint="eastAsia"/>
          <w:lang w:val="en-US" w:eastAsia="zh-CN"/>
        </w:rPr>
        <w:t>CG/</w:t>
      </w:r>
      <w:r>
        <w:rPr>
          <w:rFonts w:eastAsia="宋体"/>
          <w:lang w:val="en-US" w:eastAsia="zh-CN"/>
        </w:rPr>
        <w:t>SPS</w:t>
      </w:r>
      <w:r>
        <w:rPr>
          <w:rFonts w:eastAsia="宋体" w:hint="eastAsia"/>
          <w:lang w:val="en-US" w:eastAsia="zh-CN"/>
        </w:rPr>
        <w:t xml:space="preserve"> resources </w:t>
      </w:r>
      <w:r>
        <w:rPr>
          <w:rFonts w:eastAsia="宋体" w:hint="eastAsia"/>
          <w:lang w:val="en-US" w:eastAsia="zh-CN"/>
        </w:rPr>
        <w:t>woul</w:t>
      </w:r>
      <w:r>
        <w:rPr>
          <w:rFonts w:eastAsia="宋体" w:hint="eastAsia"/>
          <w:lang w:val="en-US" w:eastAsia="zh-CN"/>
        </w:rPr>
        <w:t xml:space="preserve">d be at the 32th </w:t>
      </w:r>
      <w:r>
        <w:rPr>
          <w:rFonts w:eastAsia="宋体"/>
          <w:lang w:val="en-US" w:eastAsia="zh-CN"/>
        </w:rPr>
        <w:t xml:space="preserve">subframe </w:t>
      </w:r>
      <w:r>
        <w:rPr>
          <w:rFonts w:eastAsia="宋体" w:hint="eastAsia"/>
          <w:lang w:val="en-US" w:eastAsia="zh-CN"/>
        </w:rPr>
        <w:t xml:space="preserve">which is mismatched the actual arriving time 33.33ms. </w:t>
      </w:r>
      <w:r>
        <w:rPr>
          <w:rFonts w:eastAsia="宋体" w:hint="eastAsia"/>
          <w:lang w:val="en-US" w:eastAsia="zh-CN"/>
        </w:rPr>
        <w:t>Thus, methods to a</w:t>
      </w:r>
      <w:r>
        <w:rPr>
          <w:rFonts w:eastAsia="宋体"/>
          <w:lang w:val="en-US" w:eastAsia="zh-CN"/>
        </w:rPr>
        <w:t>ddress support for TSC message periodicities with non-integer multiple of NR supported CG/SPS periodicities</w:t>
      </w:r>
      <w:r>
        <w:rPr>
          <w:rFonts w:eastAsia="宋体" w:hint="eastAsia"/>
          <w:lang w:val="en-US" w:eastAsia="zh-CN"/>
        </w:rPr>
        <w:t xml:space="preserve"> should be investigated. In our views, the followin</w:t>
      </w:r>
      <w:r>
        <w:rPr>
          <w:rFonts w:eastAsia="宋体" w:hint="eastAsia"/>
          <w:lang w:val="en-US" w:eastAsia="zh-CN"/>
        </w:rPr>
        <w:t>g ways could be considered.</w:t>
      </w:r>
    </w:p>
    <w:p w:rsidR="009E75E9" w:rsidRDefault="00F127DC">
      <w:pPr>
        <w:snapToGrid w:val="0"/>
        <w:spacing w:after="120" w:line="240" w:lineRule="exact"/>
        <w:rPr>
          <w:rFonts w:eastAsia="宋体"/>
          <w:b/>
          <w:bCs/>
          <w:u w:val="single"/>
          <w:lang w:val="en-US" w:eastAsia="zh-CN"/>
        </w:rPr>
      </w:pPr>
      <w:r>
        <w:rPr>
          <w:rFonts w:eastAsia="宋体" w:hint="eastAsia"/>
          <w:b/>
          <w:bCs/>
          <w:u w:val="single"/>
          <w:lang w:val="en-US" w:eastAsia="zh-CN"/>
        </w:rPr>
        <w:t xml:space="preserve">Adjustment of </w:t>
      </w:r>
      <w:r>
        <w:rPr>
          <w:rFonts w:eastAsia="宋体"/>
          <w:b/>
          <w:bCs/>
          <w:u w:val="single"/>
          <w:lang w:val="en-US" w:eastAsia="zh-CN"/>
        </w:rPr>
        <w:t>CG/SPS</w:t>
      </w:r>
      <w:r>
        <w:rPr>
          <w:rFonts w:eastAsia="宋体" w:hint="eastAsia"/>
          <w:b/>
          <w:bCs/>
          <w:u w:val="single"/>
          <w:lang w:val="en-US" w:eastAsia="zh-CN"/>
        </w:rPr>
        <w:t xml:space="preserve"> resource by RRC reconfiguration </w:t>
      </w:r>
    </w:p>
    <w:p w:rsidR="009E75E9" w:rsidRDefault="00F127DC">
      <w:pPr>
        <w:snapToGrid w:val="0"/>
        <w:spacing w:after="120" w:line="24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</w:t>
      </w:r>
      <w:r>
        <w:rPr>
          <w:rFonts w:eastAsia="宋体"/>
          <w:lang w:val="en-US" w:eastAsia="zh-CN"/>
        </w:rPr>
        <w:t>non-integer multiple of NR supported CG/SPS periodicities</w:t>
      </w:r>
      <w:r>
        <w:rPr>
          <w:rFonts w:eastAsia="宋体" w:hint="eastAsia"/>
          <w:lang w:val="en-US" w:eastAsia="zh-CN"/>
        </w:rPr>
        <w:t xml:space="preserve">, one way is to let gNB reconfigure the starting offset for </w:t>
      </w:r>
      <w:r>
        <w:rPr>
          <w:rFonts w:eastAsia="宋体"/>
          <w:lang w:val="en-US" w:eastAsia="zh-CN"/>
        </w:rPr>
        <w:t>CG/SPS</w:t>
      </w:r>
      <w:r>
        <w:rPr>
          <w:rFonts w:eastAsia="宋体" w:hint="eastAsia"/>
          <w:lang w:val="en-US" w:eastAsia="zh-CN"/>
        </w:rPr>
        <w:t xml:space="preserve"> resources. This may be feasible for a large </w:t>
      </w:r>
      <w:r>
        <w:rPr>
          <w:rFonts w:eastAsia="宋体"/>
          <w:lang w:val="en-US" w:eastAsia="zh-CN"/>
        </w:rPr>
        <w:t>no</w:t>
      </w:r>
      <w:r>
        <w:rPr>
          <w:rFonts w:eastAsia="宋体"/>
          <w:lang w:val="en-US" w:eastAsia="zh-CN"/>
        </w:rPr>
        <w:t>n-integer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period</w:t>
      </w:r>
      <w:r>
        <w:rPr>
          <w:rFonts w:eastAsia="宋体" w:hint="eastAsia"/>
          <w:lang w:val="en-US" w:eastAsia="zh-CN"/>
        </w:rPr>
        <w:t xml:space="preserve">, while will cause gNB reconfigure in a very high frequency for a small </w:t>
      </w:r>
      <w:r>
        <w:rPr>
          <w:rFonts w:eastAsia="宋体"/>
          <w:lang w:val="en-US" w:eastAsia="zh-CN"/>
        </w:rPr>
        <w:t>non-integer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period</w:t>
      </w:r>
      <w:r>
        <w:rPr>
          <w:rFonts w:eastAsia="宋体" w:hint="eastAsia"/>
          <w:lang w:val="en-US" w:eastAsia="zh-CN"/>
        </w:rPr>
        <w:t xml:space="preserve">, e.g., 0.833ms. So, this is not an efficient way in our views. </w:t>
      </w:r>
    </w:p>
    <w:p w:rsidR="009E75E9" w:rsidRDefault="00F127DC">
      <w:pPr>
        <w:snapToGrid w:val="0"/>
        <w:spacing w:after="120" w:line="240" w:lineRule="exact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bCs/>
          <w:i/>
          <w:iCs/>
          <w:lang w:val="en-US"/>
        </w:rPr>
        <w:t xml:space="preserve">Observation </w:t>
      </w:r>
      <w:r>
        <w:rPr>
          <w:rFonts w:eastAsia="宋体" w:hint="eastAsia"/>
          <w:b/>
          <w:bCs/>
          <w:i/>
          <w:iCs/>
          <w:lang w:val="en-US" w:eastAsia="zh-CN"/>
        </w:rPr>
        <w:t>1</w:t>
      </w:r>
      <w:r>
        <w:rPr>
          <w:rFonts w:eastAsia="宋体"/>
          <w:b/>
          <w:bCs/>
          <w:i/>
          <w:iCs/>
          <w:lang w:val="en-US"/>
        </w:rPr>
        <w:t>: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It is not efficient to keep </w:t>
      </w:r>
      <w:r>
        <w:rPr>
          <w:rFonts w:eastAsia="宋体" w:hint="eastAsia"/>
          <w:i/>
          <w:iCs/>
          <w:lang w:val="en-US" w:eastAsia="zh-CN"/>
        </w:rPr>
        <w:t xml:space="preserve">adjusting the </w:t>
      </w:r>
      <w:r>
        <w:rPr>
          <w:rFonts w:eastAsia="宋体"/>
          <w:i/>
          <w:iCs/>
          <w:lang w:val="en-US" w:eastAsia="zh-CN"/>
        </w:rPr>
        <w:t>CG/SPS</w:t>
      </w:r>
      <w:r>
        <w:rPr>
          <w:rFonts w:eastAsia="宋体" w:hint="eastAsia"/>
          <w:i/>
          <w:iCs/>
          <w:lang w:val="en-US" w:eastAsia="zh-CN"/>
        </w:rPr>
        <w:t xml:space="preserve"> resources by RRC reconfiguration at least for a TSC pattern flow of a small </w:t>
      </w:r>
      <w:r>
        <w:rPr>
          <w:rFonts w:eastAsia="宋体"/>
          <w:i/>
          <w:iCs/>
          <w:lang w:val="en-US" w:eastAsia="zh-CN"/>
        </w:rPr>
        <w:t>non-integer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/>
          <w:i/>
          <w:iCs/>
          <w:lang w:val="en-US" w:eastAsia="zh-CN"/>
        </w:rPr>
        <w:t>period</w:t>
      </w:r>
      <w:r>
        <w:rPr>
          <w:rFonts w:eastAsia="宋体" w:hint="eastAsia"/>
          <w:i/>
          <w:iCs/>
          <w:lang w:val="en-US" w:eastAsia="zh-CN"/>
        </w:rPr>
        <w:t xml:space="preserve">. </w:t>
      </w:r>
    </w:p>
    <w:p w:rsidR="009E75E9" w:rsidRDefault="00F127DC">
      <w:pPr>
        <w:snapToGrid w:val="0"/>
        <w:spacing w:after="120" w:line="240" w:lineRule="exact"/>
        <w:rPr>
          <w:rFonts w:eastAsia="宋体"/>
          <w:b/>
          <w:bCs/>
          <w:u w:val="single"/>
          <w:lang w:val="en-US" w:eastAsia="zh-CN"/>
        </w:rPr>
      </w:pPr>
      <w:r>
        <w:rPr>
          <w:rFonts w:eastAsia="宋体" w:hint="eastAsia"/>
          <w:b/>
          <w:bCs/>
          <w:u w:val="single"/>
          <w:lang w:val="en-US" w:eastAsia="zh-CN"/>
        </w:rPr>
        <w:t>M</w:t>
      </w:r>
      <w:r>
        <w:rPr>
          <w:rFonts w:eastAsia="宋体"/>
          <w:b/>
          <w:bCs/>
          <w:u w:val="single"/>
          <w:lang w:val="en-US" w:eastAsia="zh-CN"/>
        </w:rPr>
        <w:t>ultiple CG/SPS configuration</w:t>
      </w:r>
      <w:r>
        <w:rPr>
          <w:rFonts w:eastAsia="宋体" w:hint="eastAsia"/>
          <w:b/>
          <w:bCs/>
          <w:u w:val="single"/>
          <w:lang w:val="en-US" w:eastAsia="zh-CN"/>
        </w:rPr>
        <w:t>s</w:t>
      </w:r>
    </w:p>
    <w:p w:rsidR="009E75E9" w:rsidRDefault="00F127DC">
      <w:pPr>
        <w:snapToGrid w:val="0"/>
        <w:spacing w:after="120" w:line="24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M</w:t>
      </w:r>
      <w:r>
        <w:rPr>
          <w:rFonts w:eastAsia="宋体"/>
          <w:lang w:val="en-US" w:eastAsia="zh-CN"/>
        </w:rPr>
        <w:t xml:space="preserve">ultiple </w:t>
      </w:r>
      <w:r>
        <w:rPr>
          <w:rFonts w:eastAsia="宋体" w:hint="eastAsia"/>
          <w:lang w:val="en-US" w:eastAsia="zh-CN"/>
        </w:rPr>
        <w:t>CG/</w:t>
      </w:r>
      <w:r>
        <w:rPr>
          <w:rFonts w:eastAsia="宋体"/>
          <w:lang w:val="en-US" w:eastAsia="zh-CN"/>
        </w:rPr>
        <w:t>SPS configuration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with </w:t>
      </w:r>
      <w:r>
        <w:rPr>
          <w:rFonts w:eastAsia="宋体" w:hint="eastAsia"/>
          <w:lang w:val="en-US" w:eastAsia="zh-CN"/>
        </w:rPr>
        <w:t xml:space="preserve">same </w:t>
      </w:r>
      <w:r>
        <w:rPr>
          <w:rFonts w:eastAsia="宋体"/>
          <w:lang w:val="en-US" w:eastAsia="zh-CN"/>
        </w:rPr>
        <w:t>periodicity</w:t>
      </w:r>
      <w:r>
        <w:rPr>
          <w:rFonts w:eastAsia="宋体" w:hint="eastAsia"/>
          <w:lang w:val="en-US" w:eastAsia="zh-CN"/>
        </w:rPr>
        <w:t xml:space="preserve"> but different subframe offsets </w:t>
      </w:r>
      <w:r>
        <w:rPr>
          <w:rFonts w:eastAsia="宋体"/>
          <w:lang w:val="en-US" w:eastAsia="zh-CN"/>
        </w:rPr>
        <w:t xml:space="preserve">can </w:t>
      </w:r>
      <w:r>
        <w:rPr>
          <w:rFonts w:eastAsia="宋体" w:hint="eastAsia"/>
          <w:lang w:val="en-US" w:eastAsia="zh-CN"/>
        </w:rPr>
        <w:t xml:space="preserve">be configured to </w:t>
      </w:r>
      <w:r>
        <w:rPr>
          <w:rFonts w:eastAsia="宋体"/>
          <w:lang w:val="en-US" w:eastAsia="zh-CN"/>
        </w:rPr>
        <w:t xml:space="preserve">match the non-integer </w:t>
      </w:r>
      <w:r>
        <w:rPr>
          <w:rFonts w:eastAsia="宋体"/>
          <w:lang w:val="en-US" w:eastAsia="zh-CN"/>
        </w:rPr>
        <w:t>multiple of NR supported CG/SPS periodici</w:t>
      </w: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y</w:t>
      </w:r>
      <w:r>
        <w:rPr>
          <w:rFonts w:eastAsia="宋体" w:hint="eastAsia"/>
          <w:lang w:val="en-US" w:eastAsia="zh-CN"/>
        </w:rPr>
        <w:t xml:space="preserve">. An example is illustrated in Table 1. Note, a subframe in Table one could be regarded as a 1ms slot. </w:t>
      </w:r>
    </w:p>
    <w:p w:rsidR="009E75E9" w:rsidRDefault="00F127DC">
      <w:pPr>
        <w:snapToGrid w:val="0"/>
        <w:spacing w:after="120" w:line="240" w:lineRule="exact"/>
        <w:jc w:val="center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Table 1: Multiple CG/SPS configurations to support for TSC periodicity with 16.67ms</w:t>
      </w:r>
    </w:p>
    <w:tbl>
      <w:tblPr>
        <w:tblStyle w:val="af7"/>
        <w:tblW w:w="9571" w:type="dxa"/>
        <w:tblLayout w:type="fixed"/>
        <w:tblLook w:val="04A0" w:firstRow="1" w:lastRow="0" w:firstColumn="1" w:lastColumn="0" w:noHBand="0" w:noVBand="1"/>
      </w:tblPr>
      <w:tblGrid>
        <w:gridCol w:w="2495"/>
        <w:gridCol w:w="3412"/>
        <w:gridCol w:w="3664"/>
      </w:tblGrid>
      <w:tr w:rsidR="009E75E9">
        <w:tc>
          <w:tcPr>
            <w:tcW w:w="2495" w:type="dxa"/>
          </w:tcPr>
          <w:p w:rsidR="009E75E9" w:rsidRDefault="00F127DC">
            <w:pPr>
              <w:jc w:val="center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Transmission Occasion No</w:t>
            </w:r>
          </w:p>
        </w:tc>
        <w:tc>
          <w:tcPr>
            <w:tcW w:w="3412" w:type="dxa"/>
          </w:tcPr>
          <w:p w:rsidR="009E75E9" w:rsidRDefault="00F127DC">
            <w:pPr>
              <w:jc w:val="center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Traffic arrival time</w:t>
            </w:r>
            <w:r>
              <w:rPr>
                <w:rFonts w:eastAsia="宋体"/>
                <w:lang w:val="en-US"/>
              </w:rPr>
              <w:t>(ms)</w:t>
            </w:r>
          </w:p>
        </w:tc>
        <w:tc>
          <w:tcPr>
            <w:tcW w:w="3664" w:type="dxa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Starting s</w:t>
            </w:r>
            <w:r>
              <w:rPr>
                <w:rFonts w:eastAsia="宋体"/>
                <w:lang w:val="en-US"/>
              </w:rPr>
              <w:t>ubframe</w:t>
            </w:r>
            <w:r>
              <w:rPr>
                <w:rFonts w:eastAsia="宋体" w:hint="eastAsia"/>
                <w:lang w:val="en-US" w:eastAsia="zh-CN"/>
              </w:rPr>
              <w:t xml:space="preserve"> for t</w:t>
            </w:r>
            <w:r>
              <w:rPr>
                <w:rFonts w:eastAsia="宋体"/>
                <w:lang w:val="en-US"/>
              </w:rPr>
              <w:t xml:space="preserve">ransmission </w:t>
            </w:r>
            <w:r>
              <w:rPr>
                <w:rFonts w:eastAsia="宋体" w:hint="eastAsia"/>
                <w:lang w:val="en-US" w:eastAsia="zh-CN"/>
              </w:rPr>
              <w:t xml:space="preserve">occasion </w:t>
            </w:r>
          </w:p>
        </w:tc>
      </w:tr>
      <w:tr w:rsidR="009E75E9">
        <w:tc>
          <w:tcPr>
            <w:tcW w:w="2495" w:type="dxa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</w:p>
        </w:tc>
        <w:tc>
          <w:tcPr>
            <w:tcW w:w="3412" w:type="dxa"/>
            <w:shd w:val="clear" w:color="auto" w:fill="FFC000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</w:p>
        </w:tc>
        <w:tc>
          <w:tcPr>
            <w:tcW w:w="3664" w:type="dxa"/>
            <w:shd w:val="clear" w:color="auto" w:fill="FFC000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</w:p>
        </w:tc>
      </w:tr>
      <w:tr w:rsidR="009E75E9">
        <w:tc>
          <w:tcPr>
            <w:tcW w:w="2495" w:type="dxa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3412" w:type="dxa"/>
            <w:shd w:val="clear" w:color="auto" w:fill="00B0F0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16.67</w:t>
            </w:r>
          </w:p>
        </w:tc>
        <w:tc>
          <w:tcPr>
            <w:tcW w:w="3664" w:type="dxa"/>
            <w:shd w:val="clear" w:color="auto" w:fill="00B0F0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16 </w:t>
            </w:r>
          </w:p>
        </w:tc>
      </w:tr>
      <w:tr w:rsidR="009E75E9">
        <w:tc>
          <w:tcPr>
            <w:tcW w:w="2495" w:type="dxa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2</w:t>
            </w:r>
          </w:p>
        </w:tc>
        <w:tc>
          <w:tcPr>
            <w:tcW w:w="3412" w:type="dxa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33.33</w:t>
            </w:r>
          </w:p>
        </w:tc>
        <w:tc>
          <w:tcPr>
            <w:tcW w:w="3664" w:type="dxa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33</w:t>
            </w:r>
          </w:p>
        </w:tc>
      </w:tr>
      <w:tr w:rsidR="009E75E9">
        <w:tc>
          <w:tcPr>
            <w:tcW w:w="2495" w:type="dxa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3412" w:type="dxa"/>
            <w:shd w:val="clear" w:color="auto" w:fill="FFC000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50</w:t>
            </w:r>
          </w:p>
        </w:tc>
        <w:tc>
          <w:tcPr>
            <w:tcW w:w="3664" w:type="dxa"/>
            <w:shd w:val="clear" w:color="auto" w:fill="FFC000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50</w:t>
            </w:r>
          </w:p>
        </w:tc>
      </w:tr>
      <w:tr w:rsidR="009E75E9">
        <w:tc>
          <w:tcPr>
            <w:tcW w:w="2495" w:type="dxa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3412" w:type="dxa"/>
            <w:shd w:val="clear" w:color="auto" w:fill="00B0F0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66.67</w:t>
            </w:r>
          </w:p>
        </w:tc>
        <w:tc>
          <w:tcPr>
            <w:tcW w:w="3664" w:type="dxa"/>
            <w:shd w:val="clear" w:color="auto" w:fill="00B0F0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66</w:t>
            </w:r>
          </w:p>
        </w:tc>
      </w:tr>
      <w:tr w:rsidR="009E75E9">
        <w:tc>
          <w:tcPr>
            <w:tcW w:w="2495" w:type="dxa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3412" w:type="dxa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83.33</w:t>
            </w:r>
          </w:p>
        </w:tc>
        <w:tc>
          <w:tcPr>
            <w:tcW w:w="3664" w:type="dxa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83</w:t>
            </w:r>
          </w:p>
        </w:tc>
      </w:tr>
      <w:tr w:rsidR="009E75E9">
        <w:tc>
          <w:tcPr>
            <w:tcW w:w="9571" w:type="dxa"/>
            <w:gridSpan w:val="3"/>
          </w:tcPr>
          <w:p w:rsidR="009E75E9" w:rsidRDefault="00F127DC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......</w:t>
            </w:r>
          </w:p>
        </w:tc>
      </w:tr>
    </w:tbl>
    <w:p w:rsidR="009E75E9" w:rsidRDefault="00F127DC">
      <w:pPr>
        <w:snapToGrid w:val="0"/>
        <w:spacing w:after="120" w:line="240" w:lineRule="exac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</w:t>
      </w:r>
    </w:p>
    <w:p w:rsidR="009E75E9" w:rsidRDefault="00F127DC">
      <w:pPr>
        <w:snapToGrid w:val="0"/>
        <w:spacing w:after="120" w:line="240" w:lineRule="exac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It can be expressed by multiple </w:t>
      </w:r>
      <w:r>
        <w:rPr>
          <w:rFonts w:eastAsia="宋体" w:hint="eastAsia"/>
          <w:lang w:val="en-US" w:eastAsia="zh-CN"/>
        </w:rPr>
        <w:t>CG/</w:t>
      </w:r>
      <w:r>
        <w:rPr>
          <w:rFonts w:eastAsia="宋体"/>
          <w:lang w:val="en-US" w:eastAsia="zh-CN"/>
        </w:rPr>
        <w:t>SPS</w:t>
      </w:r>
      <w:r>
        <w:rPr>
          <w:rFonts w:eastAsia="宋体" w:hint="eastAsia"/>
          <w:lang w:val="en-US" w:eastAsia="zh-CN"/>
        </w:rPr>
        <w:t xml:space="preserve"> configurations</w:t>
      </w:r>
      <w:r>
        <w:rPr>
          <w:rFonts w:eastAsia="宋体"/>
          <w:lang w:val="en-US" w:eastAsia="zh-CN"/>
        </w:rPr>
        <w:t xml:space="preserve"> as:</w:t>
      </w:r>
    </w:p>
    <w:p w:rsidR="009E75E9" w:rsidRDefault="00F127DC">
      <w:pPr>
        <w:snapToGrid w:val="0"/>
        <w:spacing w:after="120" w:line="240" w:lineRule="exac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{</w:t>
      </w:r>
    </w:p>
    <w:p w:rsidR="009E75E9" w:rsidRDefault="00F127DC">
      <w:pPr>
        <w:snapToGrid w:val="0"/>
        <w:spacing w:after="120" w:line="24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CG/</w:t>
      </w:r>
      <w:r>
        <w:rPr>
          <w:rFonts w:eastAsia="宋体"/>
          <w:lang w:val="en-US" w:eastAsia="zh-CN"/>
        </w:rPr>
        <w:t xml:space="preserve">SPS 1: </w:t>
      </w:r>
      <w:r>
        <w:rPr>
          <w:rFonts w:eastAsia="宋体" w:hint="eastAsia"/>
          <w:lang w:val="en-US" w:eastAsia="zh-CN"/>
        </w:rPr>
        <w:t>CG/</w:t>
      </w:r>
      <w:r>
        <w:rPr>
          <w:rFonts w:eastAsia="宋体"/>
          <w:lang w:val="en-US" w:eastAsia="zh-CN"/>
        </w:rPr>
        <w:t>SPS</w:t>
      </w:r>
      <w:r>
        <w:rPr>
          <w:rFonts w:eastAsia="宋体" w:hint="eastAsia"/>
          <w:lang w:val="en-US" w:eastAsia="zh-CN"/>
        </w:rPr>
        <w:t>_</w:t>
      </w:r>
      <w:r>
        <w:rPr>
          <w:rFonts w:eastAsia="宋体"/>
          <w:lang w:val="en-US" w:eastAsia="zh-CN"/>
        </w:rPr>
        <w:t xml:space="preserve">StartSubframe = 0;    </w:t>
      </w:r>
      <w:r>
        <w:rPr>
          <w:rFonts w:eastAsia="宋体" w:hint="eastAsia"/>
          <w:lang w:val="en-US" w:eastAsia="zh-CN"/>
        </w:rPr>
        <w:t>CG/</w:t>
      </w:r>
      <w:r>
        <w:rPr>
          <w:rFonts w:eastAsia="宋体"/>
          <w:lang w:val="en-US" w:eastAsia="zh-CN"/>
        </w:rPr>
        <w:t>SPS</w:t>
      </w:r>
      <w:r>
        <w:rPr>
          <w:rFonts w:eastAsia="宋体" w:hint="eastAsia"/>
          <w:lang w:val="en-US" w:eastAsia="zh-CN"/>
        </w:rPr>
        <w:t>_</w:t>
      </w:r>
      <w:r>
        <w:rPr>
          <w:rFonts w:eastAsia="宋体"/>
          <w:lang w:val="en-US" w:eastAsia="zh-CN"/>
        </w:rPr>
        <w:t xml:space="preserve">Interval=50 subframe. </w:t>
      </w:r>
    </w:p>
    <w:p w:rsidR="009E75E9" w:rsidRDefault="00F127DC">
      <w:pPr>
        <w:snapToGrid w:val="0"/>
        <w:spacing w:after="120" w:line="24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CG/</w:t>
      </w:r>
      <w:r>
        <w:rPr>
          <w:rFonts w:eastAsia="宋体"/>
          <w:lang w:val="en-US" w:eastAsia="zh-CN"/>
        </w:rPr>
        <w:t xml:space="preserve">SPS 2: </w:t>
      </w:r>
      <w:r>
        <w:rPr>
          <w:rFonts w:eastAsia="宋体" w:hint="eastAsia"/>
          <w:lang w:val="en-US" w:eastAsia="zh-CN"/>
        </w:rPr>
        <w:t>CG/</w:t>
      </w:r>
      <w:r>
        <w:rPr>
          <w:rFonts w:eastAsia="宋体"/>
          <w:lang w:val="en-US" w:eastAsia="zh-CN"/>
        </w:rPr>
        <w:t>SPS</w:t>
      </w:r>
      <w:r>
        <w:rPr>
          <w:rFonts w:eastAsia="宋体" w:hint="eastAsia"/>
          <w:lang w:val="en-US" w:eastAsia="zh-CN"/>
        </w:rPr>
        <w:t>_</w:t>
      </w:r>
      <w:r>
        <w:rPr>
          <w:rFonts w:eastAsia="宋体"/>
          <w:lang w:val="en-US" w:eastAsia="zh-CN"/>
        </w:rPr>
        <w:t>StartSubframe = 1</w:t>
      </w:r>
      <w:r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 xml:space="preserve">;  </w:t>
      </w:r>
      <w:r w:rsidR="00D61DD4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CG/</w:t>
      </w:r>
      <w:r>
        <w:rPr>
          <w:rFonts w:eastAsia="宋体"/>
          <w:lang w:val="en-US" w:eastAsia="zh-CN"/>
        </w:rPr>
        <w:t>SPS</w:t>
      </w:r>
      <w:r>
        <w:rPr>
          <w:rFonts w:eastAsia="宋体" w:hint="eastAsia"/>
          <w:lang w:val="en-US" w:eastAsia="zh-CN"/>
        </w:rPr>
        <w:t>_</w:t>
      </w:r>
      <w:r>
        <w:rPr>
          <w:rFonts w:eastAsia="宋体"/>
          <w:lang w:val="en-US" w:eastAsia="zh-CN"/>
        </w:rPr>
        <w:t xml:space="preserve">Interval=50 subframe. </w:t>
      </w:r>
    </w:p>
    <w:p w:rsidR="009E75E9" w:rsidRDefault="00F127DC">
      <w:pPr>
        <w:snapToGrid w:val="0"/>
        <w:spacing w:after="120" w:line="24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CG/</w:t>
      </w:r>
      <w:r>
        <w:rPr>
          <w:rFonts w:eastAsia="宋体"/>
          <w:lang w:val="en-US" w:eastAsia="zh-CN"/>
        </w:rPr>
        <w:t xml:space="preserve">SPS 3: </w:t>
      </w:r>
      <w:r>
        <w:rPr>
          <w:rFonts w:eastAsia="宋体" w:hint="eastAsia"/>
          <w:lang w:val="en-US" w:eastAsia="zh-CN"/>
        </w:rPr>
        <w:t>CG/</w:t>
      </w:r>
      <w:r>
        <w:rPr>
          <w:rFonts w:eastAsia="宋体"/>
          <w:lang w:val="en-US" w:eastAsia="zh-CN"/>
        </w:rPr>
        <w:t>SPS</w:t>
      </w:r>
      <w:r>
        <w:rPr>
          <w:rFonts w:eastAsia="宋体" w:hint="eastAsia"/>
          <w:lang w:val="en-US" w:eastAsia="zh-CN"/>
        </w:rPr>
        <w:t>_</w:t>
      </w:r>
      <w:r>
        <w:rPr>
          <w:rFonts w:eastAsia="宋体"/>
          <w:lang w:val="en-US" w:eastAsia="zh-CN"/>
        </w:rPr>
        <w:t>StartSubframe = 3</w:t>
      </w:r>
      <w:r>
        <w:rPr>
          <w:rFonts w:eastAsia="宋体" w:hint="eastAsia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;  </w:t>
      </w:r>
      <w:r w:rsidR="00D61DD4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CG/</w:t>
      </w:r>
      <w:r>
        <w:rPr>
          <w:rFonts w:eastAsia="宋体"/>
          <w:lang w:val="en-US" w:eastAsia="zh-CN"/>
        </w:rPr>
        <w:t>SPS</w:t>
      </w:r>
      <w:r>
        <w:rPr>
          <w:rFonts w:eastAsia="宋体" w:hint="eastAsia"/>
          <w:lang w:val="en-US" w:eastAsia="zh-CN"/>
        </w:rPr>
        <w:t>_</w:t>
      </w:r>
      <w:r>
        <w:rPr>
          <w:rFonts w:eastAsia="宋体"/>
          <w:lang w:val="en-US" w:eastAsia="zh-CN"/>
        </w:rPr>
        <w:t xml:space="preserve">Interval=50 subframe. </w:t>
      </w:r>
    </w:p>
    <w:p w:rsidR="009E75E9" w:rsidRDefault="00F127DC">
      <w:pPr>
        <w:snapToGrid w:val="0"/>
        <w:spacing w:after="120" w:line="240" w:lineRule="exac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}</w:t>
      </w:r>
    </w:p>
    <w:p w:rsidR="009E75E9" w:rsidRDefault="00F127DC">
      <w:pPr>
        <w:snapToGrid w:val="0"/>
        <w:spacing w:after="120" w:line="24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Support of multiple CG/SPS configurations is under the discussion of eURLLC. More details about the support of multiple CG/SPS configurations can be found in our accompany contribution </w:t>
      </w:r>
      <w:r>
        <w:rPr>
          <w:rFonts w:eastAsia="宋体" w:hint="eastAsia"/>
          <w:lang w:val="en-US" w:eastAsia="zh-CN"/>
        </w:rPr>
        <w:fldChar w:fldCharType="begin"/>
      </w:r>
      <w:r>
        <w:rPr>
          <w:rFonts w:eastAsia="宋体" w:hint="eastAsia"/>
          <w:lang w:val="en-US" w:eastAsia="zh-CN"/>
        </w:rPr>
        <w:instrText xml:space="preserve"> REF _Ref2035 \r \h </w:instrText>
      </w:r>
      <w:r>
        <w:rPr>
          <w:rFonts w:eastAsia="宋体" w:hint="eastAsia"/>
          <w:lang w:val="en-US" w:eastAsia="zh-CN"/>
        </w:rPr>
      </w:r>
      <w:r>
        <w:rPr>
          <w:rFonts w:eastAsia="宋体" w:hint="eastAsia"/>
          <w:lang w:val="en-US" w:eastAsia="zh-CN"/>
        </w:rPr>
        <w:fldChar w:fldCharType="separate"/>
      </w:r>
      <w:r>
        <w:rPr>
          <w:rFonts w:eastAsia="宋体" w:hint="eastAsia"/>
          <w:lang w:val="en-US" w:eastAsia="zh-CN"/>
        </w:rPr>
        <w:t>[3]</w:t>
      </w:r>
      <w:r>
        <w:rPr>
          <w:rFonts w:eastAsia="宋体" w:hint="eastAsia"/>
          <w:lang w:val="en-US" w:eastAsia="zh-CN"/>
        </w:rPr>
        <w:fldChar w:fldCharType="end"/>
      </w:r>
      <w:r>
        <w:rPr>
          <w:rFonts w:eastAsia="宋体" w:hint="eastAsia"/>
          <w:lang w:val="en-US" w:eastAsia="zh-CN"/>
        </w:rPr>
        <w:t xml:space="preserve">[4]. </w:t>
      </w:r>
    </w:p>
    <w:p w:rsidR="009E75E9" w:rsidRDefault="00F127DC">
      <w:pPr>
        <w:snapToGrid w:val="0"/>
        <w:spacing w:after="120" w:line="240" w:lineRule="auto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/>
          <w:b/>
          <w:bCs/>
          <w:i/>
          <w:iCs/>
          <w:lang w:val="en-US"/>
        </w:rPr>
        <w:t xml:space="preserve">Observation </w:t>
      </w:r>
      <w:r>
        <w:rPr>
          <w:rFonts w:eastAsia="宋体" w:hint="eastAsia"/>
          <w:b/>
          <w:bCs/>
          <w:i/>
          <w:iCs/>
          <w:lang w:val="en-US" w:eastAsia="zh-CN"/>
        </w:rPr>
        <w:t>2</w:t>
      </w:r>
      <w:r>
        <w:rPr>
          <w:rFonts w:eastAsia="宋体"/>
          <w:b/>
          <w:bCs/>
          <w:i/>
          <w:iCs/>
          <w:lang w:val="en-US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Multiple CG/SPS configurations can be used for s</w:t>
      </w:r>
      <w:r>
        <w:rPr>
          <w:rFonts w:eastAsia="宋体"/>
          <w:i/>
          <w:iCs/>
          <w:lang w:val="en-US" w:eastAsia="zh-CN"/>
        </w:rPr>
        <w:t xml:space="preserve">upport </w:t>
      </w:r>
      <w:r>
        <w:rPr>
          <w:rFonts w:eastAsia="宋体" w:hint="eastAsia"/>
          <w:i/>
          <w:iCs/>
          <w:lang w:val="en-US" w:eastAsia="zh-CN"/>
        </w:rPr>
        <w:t xml:space="preserve">of </w:t>
      </w:r>
      <w:r>
        <w:rPr>
          <w:rFonts w:eastAsia="宋体"/>
          <w:i/>
          <w:iCs/>
          <w:lang w:val="en-US" w:eastAsia="zh-CN"/>
        </w:rPr>
        <w:t>TSC message periodicities with non-integer multiple of NR supported CG/SPS periodicities</w:t>
      </w:r>
      <w:r>
        <w:rPr>
          <w:i/>
          <w:iCs/>
          <w:lang w:val="en-US"/>
        </w:rPr>
        <w:t>.</w:t>
      </w:r>
    </w:p>
    <w:p w:rsidR="009E75E9" w:rsidRDefault="00F127DC">
      <w:pPr>
        <w:snapToGrid w:val="0"/>
        <w:spacing w:beforeLines="50" w:before="180" w:after="120" w:line="240" w:lineRule="exact"/>
        <w:rPr>
          <w:rFonts w:eastAsia="宋体"/>
          <w:b/>
          <w:bCs/>
          <w:u w:val="single"/>
          <w:lang w:val="en-US" w:eastAsia="zh-CN"/>
        </w:rPr>
      </w:pPr>
      <w:r>
        <w:rPr>
          <w:rFonts w:eastAsia="宋体" w:hint="eastAsia"/>
          <w:b/>
          <w:bCs/>
          <w:u w:val="single"/>
          <w:lang w:val="en-US" w:eastAsia="zh-CN"/>
        </w:rPr>
        <w:t xml:space="preserve">Shorter and finer </w:t>
      </w:r>
      <w:r>
        <w:rPr>
          <w:rFonts w:eastAsia="宋体"/>
          <w:b/>
          <w:bCs/>
          <w:u w:val="single"/>
          <w:lang w:val="en-US" w:eastAsia="zh-CN"/>
        </w:rPr>
        <w:t>CG/SPS periodicities</w:t>
      </w:r>
      <w:r>
        <w:rPr>
          <w:rFonts w:eastAsia="宋体" w:hint="eastAsia"/>
          <w:b/>
          <w:bCs/>
          <w:u w:val="single"/>
          <w:lang w:val="en-US" w:eastAsia="zh-CN"/>
        </w:rPr>
        <w:t xml:space="preserve"> </w:t>
      </w:r>
      <w:bookmarkStart w:id="2" w:name="_GoBack"/>
      <w:bookmarkEnd w:id="2"/>
    </w:p>
    <w:p w:rsidR="009E75E9" w:rsidRDefault="00F127DC">
      <w:pPr>
        <w:snapToGrid w:val="0"/>
        <w:spacing w:after="120" w:line="240" w:lineRule="auto"/>
        <w:rPr>
          <w:color w:val="000000" w:themeColor="text1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color w:val="000000" w:themeColor="text1"/>
          <w:lang w:val="en-US" w:eastAsia="zh-CN"/>
        </w:rPr>
        <w:t xml:space="preserve">n the current specification, </w:t>
      </w:r>
      <w:r>
        <w:rPr>
          <w:color w:val="000000" w:themeColor="text1"/>
          <w:lang w:val="en-US" w:eastAsia="zh-CN"/>
        </w:rPr>
        <w:t>the following periodicities</w:t>
      </w:r>
      <w:r>
        <w:rPr>
          <w:rFonts w:hint="eastAsia"/>
          <w:color w:val="000000" w:themeColor="text1"/>
          <w:lang w:val="en-US" w:eastAsia="zh-CN"/>
        </w:rPr>
        <w:t xml:space="preserve"> in </w:t>
      </w:r>
      <w:r>
        <w:rPr>
          <w:color w:val="000000" w:themeColor="text1"/>
          <w:lang w:val="en-US" w:eastAsia="zh-CN"/>
        </w:rPr>
        <w:t xml:space="preserve">unit </w:t>
      </w:r>
      <w:r>
        <w:rPr>
          <w:rFonts w:hint="eastAsia"/>
          <w:color w:val="000000" w:themeColor="text1"/>
          <w:lang w:val="en-US" w:eastAsia="zh-CN"/>
        </w:rPr>
        <w:t xml:space="preserve">of </w:t>
      </w:r>
      <w:r>
        <w:rPr>
          <w:color w:val="000000" w:themeColor="text1"/>
          <w:lang w:val="en-US" w:eastAsia="zh-CN"/>
        </w:rPr>
        <w:t>symbols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lang w:val="en-US"/>
        </w:rPr>
        <w:t>for configured grant</w:t>
      </w:r>
      <w:r>
        <w:rPr>
          <w:color w:val="000000" w:themeColor="text1"/>
          <w:lang w:val="en-US" w:eastAsia="zh-CN"/>
        </w:rPr>
        <w:t xml:space="preserve"> are supported depending on the configured sub-carrier spacing</w:t>
      </w:r>
      <w:r>
        <w:rPr>
          <w:rFonts w:hint="eastAsia"/>
          <w:color w:val="000000" w:themeColor="text1"/>
          <w:lang w:val="en-US" w:eastAsia="zh-CN"/>
        </w:rPr>
        <w:t xml:space="preserve">. </w:t>
      </w:r>
    </w:p>
    <w:tbl>
      <w:tblPr>
        <w:tblStyle w:val="af7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9E75E9">
        <w:tc>
          <w:tcPr>
            <w:tcW w:w="9571" w:type="dxa"/>
          </w:tcPr>
          <w:p w:rsidR="009E75E9" w:rsidRDefault="00F127DC">
            <w:pPr>
              <w:pStyle w:val="TAL"/>
              <w:numPr>
                <w:ilvl w:val="0"/>
                <w:numId w:val="3"/>
              </w:numPr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US" w:eastAsia="zh-CN"/>
              </w:rPr>
              <w:t>15kHz: 2, 7, n*14, where n={1, 2, 4, 5, 8, 10, 16, 20, 32, 40, 64, 80, 128, 160, 320, 640}</w:t>
            </w:r>
          </w:p>
          <w:p w:rsidR="009E75E9" w:rsidRDefault="00F127DC">
            <w:pPr>
              <w:pStyle w:val="TAL"/>
              <w:numPr>
                <w:ilvl w:val="0"/>
                <w:numId w:val="3"/>
              </w:numPr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US" w:eastAsia="zh-CN"/>
              </w:rPr>
              <w:t>30kHz: 2, 7, n*14, where n={1, 2,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US" w:eastAsia="zh-CN"/>
              </w:rPr>
              <w:t xml:space="preserve"> 4, 5, 8, 10, 16, 20, 32, 40, 64, 80, 128, 160, 256, 320, 640, 1280}</w:t>
            </w:r>
          </w:p>
          <w:p w:rsidR="009E75E9" w:rsidRDefault="00F127DC">
            <w:pPr>
              <w:pStyle w:val="TAL"/>
              <w:numPr>
                <w:ilvl w:val="0"/>
                <w:numId w:val="3"/>
              </w:numPr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US" w:eastAsia="zh-CN"/>
              </w:rPr>
              <w:t>60kHz with normal CP: 2, 7, n*14, where n={1, 2, 4, 5, 8, 10, 16, 20, 32, 40, 64, 80, 128, 160, 256, 320, 512, 640, 1280, 2560}</w:t>
            </w:r>
          </w:p>
          <w:p w:rsidR="009E75E9" w:rsidRDefault="00F127DC">
            <w:pPr>
              <w:pStyle w:val="TAL"/>
              <w:numPr>
                <w:ilvl w:val="0"/>
                <w:numId w:val="3"/>
              </w:numPr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US" w:eastAsia="zh-CN"/>
              </w:rPr>
              <w:t>60kHz with ECP: 2, 6, n*12, where n={1, 2, 4, 5, 8, 10, 16,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US" w:eastAsia="zh-CN"/>
              </w:rPr>
              <w:t xml:space="preserve"> 20, 32, 40, 64, 80, 128, 160, 256, 320, 512, 640, 1280, 2560}</w:t>
            </w:r>
          </w:p>
          <w:p w:rsidR="009E75E9" w:rsidRDefault="00F127DC">
            <w:pPr>
              <w:pStyle w:val="TAL"/>
              <w:numPr>
                <w:ilvl w:val="0"/>
                <w:numId w:val="3"/>
              </w:numPr>
              <w:rPr>
                <w:rFonts w:ascii="Times New Roman" w:hAnsi="Times New Roman"/>
                <w:color w:val="000000" w:themeColor="text1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US" w:eastAsia="zh-CN"/>
              </w:rPr>
              <w:t>120kHz: 2, 7, n*14, where n={1, 2, 4, 5, 8, 10, 16, 20, 32, 40, 64, 80, 128, 160, 256, 320, 512, 640, 1024, 1280, 2560, 5120}</w:t>
            </w:r>
          </w:p>
        </w:tc>
      </w:tr>
    </w:tbl>
    <w:p w:rsidR="009E75E9" w:rsidRDefault="009E75E9">
      <w:pPr>
        <w:snapToGrid w:val="0"/>
        <w:spacing w:after="120" w:line="240" w:lineRule="exact"/>
        <w:rPr>
          <w:rFonts w:eastAsia="宋体"/>
          <w:lang w:val="en-US" w:eastAsia="zh-CN"/>
        </w:rPr>
      </w:pPr>
    </w:p>
    <w:p w:rsidR="009E75E9" w:rsidRDefault="00F127DC">
      <w:pPr>
        <w:snapToGrid w:val="0"/>
        <w:spacing w:after="120" w:line="24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However, the smallest period for DL SPS is 10ms. Shorter SPS </w:t>
      </w:r>
      <w:r>
        <w:rPr>
          <w:rFonts w:eastAsia="宋体"/>
          <w:lang w:val="en-US" w:eastAsia="zh-CN"/>
        </w:rPr>
        <w:t>granularities</w:t>
      </w:r>
      <w:r>
        <w:rPr>
          <w:rFonts w:eastAsia="宋体" w:hint="eastAsia"/>
          <w:lang w:val="en-US" w:eastAsia="zh-CN"/>
        </w:rPr>
        <w:t xml:space="preserve"> are required no matter in terms of meeting the air latency, e.g. 0.5ms or matching the period of a certain TSN traffic, e.g. 0.833ms.  </w:t>
      </w:r>
    </w:p>
    <w:p w:rsidR="009E75E9" w:rsidRDefault="00F127DC">
      <w:pPr>
        <w:snapToGrid w:val="0"/>
        <w:spacing w:after="120" w:line="240" w:lineRule="exact"/>
        <w:rPr>
          <w:color w:val="000000" w:themeColor="text1"/>
          <w:lang w:val="en-US" w:eastAsia="zh-CN"/>
        </w:rPr>
      </w:pPr>
      <w:r>
        <w:rPr>
          <w:rFonts w:eastAsia="宋体" w:hint="eastAsia"/>
          <w:lang w:val="en-US" w:eastAsia="zh-CN"/>
        </w:rPr>
        <w:t>In addition, i</w:t>
      </w:r>
      <w:r>
        <w:rPr>
          <w:color w:val="000000" w:themeColor="text1"/>
          <w:lang w:val="en-US" w:eastAsia="zh-CN"/>
        </w:rPr>
        <w:t xml:space="preserve">t can be seen that the periodicities </w:t>
      </w:r>
      <w:r>
        <w:rPr>
          <w:rFonts w:hint="eastAsia"/>
          <w:color w:val="000000" w:themeColor="text1"/>
          <w:lang w:val="en-US" w:eastAsia="zh-CN"/>
        </w:rPr>
        <w:t xml:space="preserve">for UL configured grant </w:t>
      </w:r>
      <w:r>
        <w:rPr>
          <w:color w:val="000000" w:themeColor="text1"/>
          <w:lang w:val="en-US" w:eastAsia="zh-CN"/>
        </w:rPr>
        <w:t>are increased at uneven interva</w:t>
      </w:r>
      <w:r>
        <w:rPr>
          <w:color w:val="000000" w:themeColor="text1"/>
          <w:lang w:val="en-US" w:eastAsia="zh-CN"/>
        </w:rPr>
        <w:t xml:space="preserve">ls. </w:t>
      </w:r>
      <w:r>
        <w:rPr>
          <w:rFonts w:hint="eastAsia"/>
          <w:color w:val="000000" w:themeColor="text1"/>
          <w:lang w:val="en-US" w:eastAsia="zh-CN"/>
        </w:rPr>
        <w:t xml:space="preserve">If a </w:t>
      </w:r>
      <w:r>
        <w:rPr>
          <w:rFonts w:eastAsia="宋体" w:hint="eastAsia"/>
          <w:lang w:val="en-US" w:eastAsia="zh-CN"/>
        </w:rPr>
        <w:t xml:space="preserve">TSN traffic with a period of like 50ms, it means finer </w:t>
      </w:r>
      <w:r>
        <w:rPr>
          <w:color w:val="000000" w:themeColor="text1"/>
          <w:lang w:val="en-US" w:eastAsia="zh-CN"/>
        </w:rPr>
        <w:t xml:space="preserve">periodicities </w:t>
      </w:r>
      <w:r>
        <w:rPr>
          <w:rFonts w:hint="eastAsia"/>
          <w:color w:val="000000" w:themeColor="text1"/>
          <w:lang w:val="en-US" w:eastAsia="zh-CN"/>
        </w:rPr>
        <w:t xml:space="preserve">may also needed. Of course, the new added values should be based on the </w:t>
      </w:r>
      <w:r>
        <w:t>knowledge of the traffic pattern of a specific TSN flow</w:t>
      </w:r>
      <w:r>
        <w:rPr>
          <w:rFonts w:eastAsia="宋体" w:hint="eastAsia"/>
          <w:lang w:val="en-US" w:eastAsia="zh-CN"/>
        </w:rPr>
        <w:t xml:space="preserve">. </w:t>
      </w:r>
    </w:p>
    <w:p w:rsidR="009E75E9" w:rsidRDefault="00F127DC">
      <w:pPr>
        <w:snapToGrid w:val="0"/>
        <w:spacing w:after="120" w:line="240" w:lineRule="auto"/>
        <w:rPr>
          <w:i/>
          <w:iCs/>
          <w:lang w:val="en-US"/>
        </w:rPr>
      </w:pPr>
      <w:r>
        <w:rPr>
          <w:rFonts w:eastAsia="宋体"/>
          <w:b/>
          <w:bCs/>
          <w:i/>
          <w:iCs/>
          <w:lang w:val="en-US"/>
        </w:rPr>
        <w:t xml:space="preserve">Observation </w:t>
      </w:r>
      <w:r>
        <w:rPr>
          <w:rFonts w:eastAsia="宋体" w:hint="eastAsia"/>
          <w:b/>
          <w:bCs/>
          <w:i/>
          <w:iCs/>
          <w:lang w:val="en-US" w:eastAsia="zh-CN"/>
        </w:rPr>
        <w:t>3</w:t>
      </w:r>
      <w:r>
        <w:rPr>
          <w:rFonts w:eastAsia="宋体"/>
          <w:b/>
          <w:bCs/>
          <w:i/>
          <w:iCs/>
          <w:lang w:val="en-US"/>
        </w:rPr>
        <w:t xml:space="preserve">: </w:t>
      </w:r>
      <w:r>
        <w:rPr>
          <w:rFonts w:eastAsia="宋体"/>
          <w:i/>
          <w:iCs/>
          <w:lang w:val="en-US" w:eastAsia="zh-CN"/>
        </w:rPr>
        <w:t xml:space="preserve">The current </w:t>
      </w:r>
      <w:r>
        <w:rPr>
          <w:rFonts w:eastAsia="宋体" w:hint="eastAsia"/>
          <w:i/>
          <w:iCs/>
          <w:lang w:val="en-US" w:eastAsia="zh-CN"/>
        </w:rPr>
        <w:t xml:space="preserve">CG/SPS </w:t>
      </w:r>
      <w:r>
        <w:rPr>
          <w:i/>
          <w:iCs/>
          <w:lang w:val="en-US"/>
        </w:rPr>
        <w:t>periodicit</w:t>
      </w:r>
      <w:r>
        <w:rPr>
          <w:rFonts w:eastAsia="宋体" w:hint="eastAsia"/>
          <w:i/>
          <w:iCs/>
          <w:lang w:val="en-US" w:eastAsia="zh-CN"/>
        </w:rPr>
        <w:t>ies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are</w:t>
      </w:r>
      <w:r>
        <w:rPr>
          <w:rFonts w:eastAsia="宋体"/>
          <w:i/>
          <w:iCs/>
          <w:lang w:val="en-US" w:eastAsia="zh-CN"/>
        </w:rPr>
        <w:t xml:space="preserve"> difficult to match the </w:t>
      </w:r>
      <w:r>
        <w:rPr>
          <w:i/>
          <w:iCs/>
          <w:lang w:val="en-US"/>
        </w:rPr>
        <w:t>TSN traffic pattern</w:t>
      </w:r>
      <w:r>
        <w:rPr>
          <w:rFonts w:eastAsia="宋体"/>
          <w:i/>
          <w:iCs/>
          <w:lang w:val="en-US" w:eastAsia="zh-CN"/>
        </w:rPr>
        <w:t xml:space="preserve">, </w:t>
      </w:r>
      <w:r>
        <w:rPr>
          <w:rFonts w:eastAsia="宋体" w:hint="eastAsia"/>
          <w:i/>
          <w:iCs/>
          <w:lang w:val="en-US" w:eastAsia="zh-CN"/>
        </w:rPr>
        <w:t xml:space="preserve">both shorter and finer </w:t>
      </w:r>
      <w:r>
        <w:rPr>
          <w:rFonts w:eastAsia="宋体" w:hint="eastAsia"/>
          <w:i/>
          <w:iCs/>
          <w:lang w:val="en-US" w:eastAsia="zh-CN"/>
        </w:rPr>
        <w:t xml:space="preserve">CG/SPS </w:t>
      </w:r>
      <w:r>
        <w:rPr>
          <w:i/>
          <w:iCs/>
          <w:lang w:val="en-US"/>
        </w:rPr>
        <w:t>periodicit</w:t>
      </w:r>
      <w:r w:rsidR="00EB4B38">
        <w:rPr>
          <w:rFonts w:eastAsia="宋体" w:hint="eastAsia"/>
          <w:i/>
          <w:iCs/>
          <w:lang w:val="en-US" w:eastAsia="zh-CN"/>
        </w:rPr>
        <w:t>ies are needed</w:t>
      </w:r>
      <w:r>
        <w:rPr>
          <w:i/>
          <w:iCs/>
          <w:lang w:val="en-US"/>
        </w:rPr>
        <w:t>.</w:t>
      </w:r>
    </w:p>
    <w:p w:rsidR="009E75E9" w:rsidRDefault="00F127DC">
      <w:pPr>
        <w:snapToGrid w:val="0"/>
        <w:spacing w:beforeLines="50" w:before="180" w:after="120" w:line="240" w:lineRule="exact"/>
        <w:rPr>
          <w:rFonts w:eastAsia="宋体"/>
          <w:b/>
          <w:bCs/>
          <w:u w:val="single"/>
          <w:lang w:val="en-US" w:eastAsia="zh-CN"/>
        </w:rPr>
      </w:pPr>
      <w:r>
        <w:rPr>
          <w:rFonts w:eastAsia="宋体" w:hint="eastAsia"/>
          <w:b/>
          <w:bCs/>
          <w:u w:val="single"/>
          <w:lang w:val="en-US" w:eastAsia="zh-CN"/>
        </w:rPr>
        <w:t>Indication based on knowledge of TSN traffic pattern</w:t>
      </w:r>
    </w:p>
    <w:p w:rsidR="009E75E9" w:rsidRDefault="00F127DC">
      <w:pPr>
        <w:snapToGrid w:val="0"/>
        <w:spacing w:after="120" w:line="24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If the network knows the knowledge of TSN traffic pattern, one simple way is to indicate these knowledge including the </w:t>
      </w:r>
      <w:r>
        <w:rPr>
          <w:lang w:val="en-US"/>
        </w:rPr>
        <w:t>periodicit</w:t>
      </w:r>
      <w:r>
        <w:rPr>
          <w:rFonts w:eastAsia="宋体" w:hint="eastAsia"/>
          <w:lang w:val="en-US" w:eastAsia="zh-CN"/>
        </w:rPr>
        <w:t>ies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to UE directly. If the </w:t>
      </w:r>
      <w:r>
        <w:rPr>
          <w:lang w:val="en-US"/>
        </w:rPr>
        <w:t>periodicit</w:t>
      </w:r>
      <w:r>
        <w:rPr>
          <w:rFonts w:eastAsia="宋体" w:hint="eastAsia"/>
          <w:lang w:val="en-US" w:eastAsia="zh-CN"/>
        </w:rPr>
        <w:t>ies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are within the possible values defined in RRC, legacy procedure could be workable. However, if these </w:t>
      </w:r>
      <w:r>
        <w:rPr>
          <w:lang w:val="en-US"/>
        </w:rPr>
        <w:t>periodicit</w:t>
      </w:r>
      <w:r>
        <w:rPr>
          <w:rFonts w:eastAsia="宋体" w:hint="eastAsia"/>
          <w:lang w:val="en-US" w:eastAsia="zh-CN"/>
        </w:rPr>
        <w:t>ies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are some new values. It may need a new IE in RRC or a new bit field in DCI. From our perspective, at least using dynamic signalling is not pr</w:t>
      </w:r>
      <w:r>
        <w:rPr>
          <w:rFonts w:eastAsia="宋体" w:hint="eastAsia"/>
          <w:lang w:val="en-US" w:eastAsia="zh-CN"/>
        </w:rPr>
        <w:t xml:space="preserve">eferable since it would cause too much overhead to fully describe all possible </w:t>
      </w:r>
      <w:r>
        <w:rPr>
          <w:lang w:val="en-US"/>
        </w:rPr>
        <w:t>periodicit</w:t>
      </w:r>
      <w:r>
        <w:rPr>
          <w:rFonts w:eastAsia="宋体" w:hint="eastAsia"/>
          <w:lang w:val="en-US" w:eastAsia="zh-CN"/>
        </w:rPr>
        <w:t xml:space="preserve">ies. Whether semi-static signalling is feasible may need further investigation. For example, if all possible </w:t>
      </w:r>
      <w:r>
        <w:rPr>
          <w:lang w:val="en-US"/>
        </w:rPr>
        <w:t>periodicit</w:t>
      </w:r>
      <w:r>
        <w:rPr>
          <w:rFonts w:eastAsia="宋体" w:hint="eastAsia"/>
          <w:lang w:val="en-US" w:eastAsia="zh-CN"/>
        </w:rPr>
        <w:t>ies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for all foreseeable TSC traffic flows can be</w:t>
      </w:r>
      <w:r>
        <w:rPr>
          <w:rFonts w:eastAsia="宋体" w:hint="eastAsia"/>
          <w:lang w:val="en-US" w:eastAsia="zh-CN"/>
        </w:rPr>
        <w:t xml:space="preserve"> specified now, then it is simpler to just introduce some shorter/finer </w:t>
      </w:r>
      <w:r>
        <w:rPr>
          <w:lang w:val="en-US"/>
        </w:rPr>
        <w:t>periodicit</w:t>
      </w:r>
      <w:r>
        <w:rPr>
          <w:rFonts w:eastAsia="宋体" w:hint="eastAsia"/>
          <w:lang w:val="en-US" w:eastAsia="zh-CN"/>
        </w:rPr>
        <w:t>ies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to match the TSC traffic. </w:t>
      </w:r>
    </w:p>
    <w:p w:rsidR="009E75E9" w:rsidRDefault="00F127DC">
      <w:pPr>
        <w:snapToGrid w:val="0"/>
        <w:spacing w:after="120" w:line="240" w:lineRule="auto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bCs/>
          <w:i/>
          <w:iCs/>
          <w:lang w:val="en-US"/>
        </w:rPr>
        <w:t xml:space="preserve">Observation </w:t>
      </w:r>
      <w:r>
        <w:rPr>
          <w:rFonts w:eastAsia="宋体" w:hint="eastAsia"/>
          <w:b/>
          <w:bCs/>
          <w:i/>
          <w:iCs/>
          <w:lang w:val="en-US" w:eastAsia="zh-CN"/>
        </w:rPr>
        <w:t>4</w:t>
      </w:r>
      <w:r>
        <w:rPr>
          <w:rFonts w:eastAsia="宋体"/>
          <w:b/>
          <w:bCs/>
          <w:i/>
          <w:iCs/>
          <w:lang w:val="en-US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 xml:space="preserve">Using dynamic indication based on knowledge of TSN traffic pattern is not preferable. FFS for semi-static indication. </w:t>
      </w:r>
    </w:p>
    <w:p w:rsidR="009E75E9" w:rsidRDefault="00F127DC">
      <w:pPr>
        <w:pStyle w:val="1"/>
        <w:snapToGrid w:val="0"/>
        <w:spacing w:beforeLines="0" w:afterLines="50" w:after="180"/>
      </w:pPr>
      <w:r>
        <w:rPr>
          <w:rFonts w:hint="eastAsia"/>
        </w:rPr>
        <w:t>Conclusion</w:t>
      </w:r>
      <w:r>
        <w:rPr>
          <w:rFonts w:hint="eastAsia"/>
          <w:lang w:val="en-US"/>
        </w:rPr>
        <w:t>s</w:t>
      </w:r>
    </w:p>
    <w:p w:rsidR="009E75E9" w:rsidRDefault="00F127DC">
      <w:pPr>
        <w:snapToGrid w:val="0"/>
        <w:spacing w:after="120" w:line="240" w:lineRule="auto"/>
        <w:rPr>
          <w:lang w:val="en-US" w:eastAsia="zh-CN"/>
        </w:rPr>
      </w:pPr>
      <w:bookmarkStart w:id="3" w:name="OLE_LINK1"/>
      <w:r>
        <w:rPr>
          <w:rFonts w:hint="eastAsia"/>
          <w:lang w:val="en-US" w:eastAsia="zh-CN"/>
        </w:rPr>
        <w:t>In this contribution, we mainly discuss the issue of mismatch between TSC periodicities and SPS/CG configuration periodicities. In summary, we have the following observations:</w:t>
      </w:r>
    </w:p>
    <w:p w:rsidR="009E75E9" w:rsidRDefault="00F127DC">
      <w:pPr>
        <w:snapToGrid w:val="0"/>
        <w:spacing w:after="120" w:line="240" w:lineRule="exact"/>
        <w:rPr>
          <w:lang w:val="en-US" w:eastAsia="zh-CN"/>
        </w:rPr>
      </w:pPr>
      <w:r>
        <w:rPr>
          <w:rFonts w:eastAsia="宋体"/>
          <w:b/>
          <w:bCs/>
          <w:i/>
          <w:iCs/>
          <w:lang w:val="en-US"/>
        </w:rPr>
        <w:t xml:space="preserve">Observation </w:t>
      </w:r>
      <w:r>
        <w:rPr>
          <w:rFonts w:eastAsia="宋体" w:hint="eastAsia"/>
          <w:b/>
          <w:bCs/>
          <w:i/>
          <w:iCs/>
          <w:lang w:val="en-US" w:eastAsia="zh-CN"/>
        </w:rPr>
        <w:t>1</w:t>
      </w:r>
      <w:r>
        <w:rPr>
          <w:rFonts w:eastAsia="宋体"/>
          <w:b/>
          <w:bCs/>
          <w:i/>
          <w:iCs/>
          <w:lang w:val="en-US"/>
        </w:rPr>
        <w:t>: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It is not efficient to keep </w:t>
      </w:r>
      <w:r>
        <w:rPr>
          <w:rFonts w:eastAsia="宋体" w:hint="eastAsia"/>
          <w:i/>
          <w:iCs/>
          <w:lang w:val="en-US" w:eastAsia="zh-CN"/>
        </w:rPr>
        <w:t xml:space="preserve">adjusting the </w:t>
      </w:r>
      <w:r>
        <w:rPr>
          <w:rFonts w:eastAsia="宋体"/>
          <w:i/>
          <w:iCs/>
          <w:lang w:val="en-US" w:eastAsia="zh-CN"/>
        </w:rPr>
        <w:t>CG/SPS</w:t>
      </w:r>
      <w:r>
        <w:rPr>
          <w:rFonts w:eastAsia="宋体" w:hint="eastAsia"/>
          <w:i/>
          <w:iCs/>
          <w:lang w:val="en-US" w:eastAsia="zh-CN"/>
        </w:rPr>
        <w:t xml:space="preserve"> resources by RRC reconfiguration at least for a TSC pattern flow of a small </w:t>
      </w:r>
      <w:r>
        <w:rPr>
          <w:rFonts w:eastAsia="宋体"/>
          <w:i/>
          <w:iCs/>
          <w:lang w:val="en-US" w:eastAsia="zh-CN"/>
        </w:rPr>
        <w:t>non-integer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/>
          <w:i/>
          <w:iCs/>
          <w:lang w:val="en-US" w:eastAsia="zh-CN"/>
        </w:rPr>
        <w:t>period</w:t>
      </w:r>
      <w:r>
        <w:rPr>
          <w:rFonts w:eastAsia="宋体" w:hint="eastAsia"/>
          <w:i/>
          <w:iCs/>
          <w:lang w:val="en-US" w:eastAsia="zh-CN"/>
        </w:rPr>
        <w:t xml:space="preserve">. </w:t>
      </w:r>
    </w:p>
    <w:bookmarkEnd w:id="3"/>
    <w:p w:rsidR="009E75E9" w:rsidRDefault="00F127DC">
      <w:pPr>
        <w:snapToGrid w:val="0"/>
        <w:spacing w:after="120" w:line="240" w:lineRule="auto"/>
        <w:rPr>
          <w:rFonts w:eastAsia="宋体"/>
          <w:b/>
          <w:bCs/>
          <w:i/>
          <w:iCs/>
          <w:lang w:val="en-US"/>
        </w:rPr>
      </w:pPr>
      <w:r>
        <w:rPr>
          <w:rFonts w:eastAsia="宋体"/>
          <w:b/>
          <w:bCs/>
          <w:i/>
          <w:iCs/>
          <w:lang w:val="en-US"/>
        </w:rPr>
        <w:t xml:space="preserve">Observation </w:t>
      </w:r>
      <w:r>
        <w:rPr>
          <w:rFonts w:eastAsia="宋体" w:hint="eastAsia"/>
          <w:b/>
          <w:bCs/>
          <w:i/>
          <w:iCs/>
          <w:lang w:val="en-US" w:eastAsia="zh-CN"/>
        </w:rPr>
        <w:t>2</w:t>
      </w:r>
      <w:r>
        <w:rPr>
          <w:rFonts w:eastAsia="宋体"/>
          <w:b/>
          <w:bCs/>
          <w:i/>
          <w:iCs/>
          <w:lang w:val="en-US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Multiple CG/SPS configurations can be used for s</w:t>
      </w:r>
      <w:r>
        <w:rPr>
          <w:rFonts w:eastAsia="宋体"/>
          <w:i/>
          <w:iCs/>
          <w:lang w:val="en-US" w:eastAsia="zh-CN"/>
        </w:rPr>
        <w:t xml:space="preserve">upport </w:t>
      </w:r>
      <w:r>
        <w:rPr>
          <w:rFonts w:eastAsia="宋体" w:hint="eastAsia"/>
          <w:i/>
          <w:iCs/>
          <w:lang w:val="en-US" w:eastAsia="zh-CN"/>
        </w:rPr>
        <w:t xml:space="preserve">of </w:t>
      </w:r>
      <w:r>
        <w:rPr>
          <w:rFonts w:eastAsia="宋体"/>
          <w:i/>
          <w:iCs/>
          <w:lang w:val="en-US" w:eastAsia="zh-CN"/>
        </w:rPr>
        <w:t xml:space="preserve">TSC message periodicities with non-integer multiple of NR supported CG/SPS </w:t>
      </w:r>
      <w:r>
        <w:rPr>
          <w:rFonts w:eastAsia="宋体"/>
          <w:i/>
          <w:iCs/>
          <w:lang w:val="en-US" w:eastAsia="zh-CN"/>
        </w:rPr>
        <w:t>periodicities</w:t>
      </w:r>
      <w:r>
        <w:rPr>
          <w:i/>
          <w:iCs/>
          <w:lang w:val="en-US"/>
        </w:rPr>
        <w:t>.</w:t>
      </w:r>
    </w:p>
    <w:p w:rsidR="009E75E9" w:rsidRDefault="00F127DC">
      <w:pPr>
        <w:snapToGrid w:val="0"/>
        <w:spacing w:after="120" w:line="240" w:lineRule="auto"/>
        <w:rPr>
          <w:rFonts w:eastAsia="宋体"/>
          <w:b/>
          <w:bCs/>
          <w:i/>
          <w:iCs/>
          <w:lang w:val="en-US"/>
        </w:rPr>
      </w:pPr>
      <w:r>
        <w:rPr>
          <w:rFonts w:eastAsia="宋体"/>
          <w:b/>
          <w:bCs/>
          <w:i/>
          <w:iCs/>
          <w:lang w:val="en-US"/>
        </w:rPr>
        <w:t xml:space="preserve">Observation </w:t>
      </w:r>
      <w:r>
        <w:rPr>
          <w:rFonts w:eastAsia="宋体" w:hint="eastAsia"/>
          <w:b/>
          <w:bCs/>
          <w:i/>
          <w:iCs/>
          <w:lang w:val="en-US" w:eastAsia="zh-CN"/>
        </w:rPr>
        <w:t>3</w:t>
      </w:r>
      <w:r>
        <w:rPr>
          <w:rFonts w:eastAsia="宋体"/>
          <w:b/>
          <w:bCs/>
          <w:i/>
          <w:iCs/>
          <w:lang w:val="en-US"/>
        </w:rPr>
        <w:t xml:space="preserve">: </w:t>
      </w:r>
      <w:r>
        <w:rPr>
          <w:rFonts w:eastAsia="宋体"/>
          <w:i/>
          <w:iCs/>
          <w:lang w:val="en-US" w:eastAsia="zh-CN"/>
        </w:rPr>
        <w:t xml:space="preserve">The current </w:t>
      </w:r>
      <w:r>
        <w:rPr>
          <w:rFonts w:eastAsia="宋体" w:hint="eastAsia"/>
          <w:i/>
          <w:iCs/>
          <w:lang w:val="en-US" w:eastAsia="zh-CN"/>
        </w:rPr>
        <w:t xml:space="preserve">CG/SPS </w:t>
      </w:r>
      <w:r>
        <w:rPr>
          <w:i/>
          <w:iCs/>
          <w:lang w:val="en-US"/>
        </w:rPr>
        <w:t>periodicit</w:t>
      </w:r>
      <w:r>
        <w:rPr>
          <w:rFonts w:eastAsia="宋体" w:hint="eastAsia"/>
          <w:i/>
          <w:iCs/>
          <w:lang w:val="en-US" w:eastAsia="zh-CN"/>
        </w:rPr>
        <w:t>ies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are</w:t>
      </w:r>
      <w:r>
        <w:rPr>
          <w:rFonts w:eastAsia="宋体"/>
          <w:i/>
          <w:iCs/>
          <w:lang w:val="en-US" w:eastAsia="zh-CN"/>
        </w:rPr>
        <w:t xml:space="preserve"> difficult to match the </w:t>
      </w:r>
      <w:r>
        <w:rPr>
          <w:i/>
          <w:iCs/>
          <w:lang w:val="en-US"/>
        </w:rPr>
        <w:t>TSN traffic pattern</w:t>
      </w:r>
      <w:r>
        <w:rPr>
          <w:rFonts w:eastAsia="宋体"/>
          <w:i/>
          <w:iCs/>
          <w:lang w:val="en-US" w:eastAsia="zh-CN"/>
        </w:rPr>
        <w:t xml:space="preserve">, </w:t>
      </w:r>
      <w:r>
        <w:rPr>
          <w:rFonts w:eastAsia="宋体" w:hint="eastAsia"/>
          <w:i/>
          <w:iCs/>
          <w:lang w:val="en-US" w:eastAsia="zh-CN"/>
        </w:rPr>
        <w:t xml:space="preserve">both shorter and finer </w:t>
      </w:r>
      <w:r>
        <w:rPr>
          <w:rFonts w:eastAsia="宋体" w:hint="eastAsia"/>
          <w:i/>
          <w:iCs/>
          <w:lang w:val="en-US" w:eastAsia="zh-CN"/>
        </w:rPr>
        <w:t xml:space="preserve">CG/SPS </w:t>
      </w:r>
      <w:r>
        <w:rPr>
          <w:i/>
          <w:iCs/>
          <w:lang w:val="en-US"/>
        </w:rPr>
        <w:t>periodicit</w:t>
      </w:r>
      <w:r>
        <w:rPr>
          <w:rFonts w:eastAsia="宋体" w:hint="eastAsia"/>
          <w:i/>
          <w:iCs/>
          <w:lang w:val="en-US" w:eastAsia="zh-CN"/>
        </w:rPr>
        <w:t>ies are needed</w:t>
      </w:r>
      <w:r>
        <w:rPr>
          <w:i/>
          <w:iCs/>
          <w:lang w:val="en-US"/>
        </w:rPr>
        <w:t>.</w:t>
      </w:r>
    </w:p>
    <w:p w:rsidR="009E75E9" w:rsidRDefault="00F127DC">
      <w:pPr>
        <w:snapToGrid w:val="0"/>
        <w:spacing w:after="120" w:line="240" w:lineRule="auto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bCs/>
          <w:i/>
          <w:iCs/>
          <w:lang w:val="en-US"/>
        </w:rPr>
        <w:t xml:space="preserve">Observation </w:t>
      </w:r>
      <w:r>
        <w:rPr>
          <w:rFonts w:eastAsia="宋体" w:hint="eastAsia"/>
          <w:b/>
          <w:bCs/>
          <w:i/>
          <w:iCs/>
          <w:lang w:val="en-US" w:eastAsia="zh-CN"/>
        </w:rPr>
        <w:t>4</w:t>
      </w:r>
      <w:r>
        <w:rPr>
          <w:rFonts w:eastAsia="宋体"/>
          <w:b/>
          <w:bCs/>
          <w:i/>
          <w:iCs/>
          <w:lang w:val="en-US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 xml:space="preserve">Using dynamic indication based on knowledge of TSN traffic pattern is not preferable. FFS for semi-static indication. </w:t>
      </w:r>
    </w:p>
    <w:p w:rsidR="009E75E9" w:rsidRDefault="00F127DC">
      <w:pPr>
        <w:pStyle w:val="1"/>
        <w:spacing w:before="180"/>
      </w:pPr>
      <w:r>
        <w:t>References</w:t>
      </w:r>
    </w:p>
    <w:p w:rsidR="009E75E9" w:rsidRDefault="00F127DC">
      <w:pPr>
        <w:numPr>
          <w:ilvl w:val="0"/>
          <w:numId w:val="4"/>
        </w:numPr>
        <w:snapToGrid w:val="0"/>
        <w:spacing w:after="120" w:line="240" w:lineRule="auto"/>
      </w:pPr>
      <w:bookmarkStart w:id="4" w:name="OLE_LINK2"/>
      <w:r>
        <w:t>3GPP, RP-19</w:t>
      </w:r>
      <w:r>
        <w:rPr>
          <w:lang w:val="en-US"/>
        </w:rPr>
        <w:t>0</w:t>
      </w:r>
      <w:r>
        <w:t>7</w:t>
      </w:r>
      <w:r>
        <w:rPr>
          <w:lang w:val="en-US"/>
        </w:rPr>
        <w:t>28</w:t>
      </w:r>
      <w:r>
        <w:t xml:space="preserve">, </w:t>
      </w:r>
      <w:r>
        <w:rPr>
          <w:rFonts w:hint="eastAsia"/>
        </w:rPr>
        <w:t>New WID: Support of NR Industrial Internet of Things (IoT)</w:t>
      </w:r>
      <w:r>
        <w:t>, RAN#83, March 2019</w:t>
      </w:r>
      <w:bookmarkEnd w:id="4"/>
      <w:r>
        <w:rPr>
          <w:rFonts w:eastAsia="宋体" w:hint="eastAsia"/>
          <w:lang w:val="en-US" w:eastAsia="zh-CN"/>
        </w:rPr>
        <w:t>.</w:t>
      </w:r>
    </w:p>
    <w:p w:rsidR="009E75E9" w:rsidRDefault="00F127DC">
      <w:pPr>
        <w:numPr>
          <w:ilvl w:val="0"/>
          <w:numId w:val="4"/>
        </w:numPr>
        <w:snapToGrid w:val="0"/>
        <w:spacing w:after="120" w:line="240" w:lineRule="auto"/>
      </w:pPr>
      <w:r>
        <w:rPr>
          <w:lang w:val="en-US"/>
        </w:rPr>
        <w:t xml:space="preserve">3GPP, TR 38.825, v1.0.0, </w:t>
      </w:r>
      <w:r>
        <w:rPr>
          <w:lang w:val="en-US"/>
        </w:rPr>
        <w:t>Study on NR Industrial Internet of Things (IoT)</w:t>
      </w:r>
      <w:r>
        <w:rPr>
          <w:rFonts w:eastAsia="宋体" w:hint="eastAsia"/>
          <w:lang w:val="en-US" w:eastAsia="zh-CN"/>
        </w:rPr>
        <w:t>.</w:t>
      </w:r>
    </w:p>
    <w:p w:rsidR="009E75E9" w:rsidRDefault="00F127DC">
      <w:pPr>
        <w:numPr>
          <w:ilvl w:val="0"/>
          <w:numId w:val="4"/>
        </w:numPr>
        <w:snapToGrid w:val="0"/>
        <w:spacing w:after="120" w:line="240" w:lineRule="auto"/>
        <w:rPr>
          <w:lang w:val="en-US" w:eastAsia="ja-JP"/>
        </w:rPr>
      </w:pPr>
      <w:r>
        <w:rPr>
          <w:rFonts w:eastAsia="宋体" w:hint="eastAsia"/>
          <w:lang w:val="en-US" w:eastAsia="zh-CN"/>
        </w:rPr>
        <w:t xml:space="preserve">3GPP RAN1#96BIS, </w:t>
      </w:r>
      <w:r>
        <w:rPr>
          <w:rFonts w:hint="eastAsia"/>
          <w:lang w:val="en-US" w:eastAsia="ja-JP"/>
        </w:rPr>
        <w:t>R1-1904148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hint="eastAsia"/>
          <w:lang w:val="en-US" w:eastAsia="ja-JP"/>
        </w:rPr>
        <w:t>Enhancements for UL grant-free transmissions</w:t>
      </w:r>
      <w:r>
        <w:rPr>
          <w:rFonts w:eastAsia="宋体" w:hint="eastAsia"/>
          <w:lang w:val="en-US" w:eastAsia="zh-CN"/>
        </w:rPr>
        <w:t xml:space="preserve">, ZTE. </w:t>
      </w:r>
    </w:p>
    <w:p w:rsidR="009E75E9" w:rsidRDefault="00F127DC">
      <w:pPr>
        <w:numPr>
          <w:ilvl w:val="0"/>
          <w:numId w:val="4"/>
        </w:numPr>
        <w:snapToGrid w:val="0"/>
        <w:spacing w:after="120" w:line="240" w:lineRule="auto"/>
        <w:rPr>
          <w:lang w:val="en-US" w:eastAsia="ja-JP"/>
        </w:rPr>
      </w:pPr>
      <w:r>
        <w:rPr>
          <w:rFonts w:eastAsia="宋体" w:hint="eastAsia"/>
          <w:lang w:val="en-US" w:eastAsia="zh-CN"/>
        </w:rPr>
        <w:t xml:space="preserve">3GPP RAN1#96BIS, </w:t>
      </w:r>
      <w:r>
        <w:rPr>
          <w:rFonts w:hint="eastAsia"/>
          <w:lang w:val="en-US" w:eastAsia="ja-JP"/>
        </w:rPr>
        <w:t>R1-1904150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hint="eastAsia"/>
          <w:lang w:val="en-US" w:eastAsia="ja-JP"/>
        </w:rPr>
        <w:t>Enhancements for DL SPS configurations</w:t>
      </w:r>
      <w:r>
        <w:rPr>
          <w:rFonts w:eastAsia="宋体" w:hint="eastAsia"/>
          <w:lang w:val="en-US" w:eastAsia="zh-CN"/>
        </w:rPr>
        <w:t xml:space="preserve">, ZTE. </w:t>
      </w:r>
    </w:p>
    <w:sectPr w:rsidR="009E75E9">
      <w:footerReference w:type="default" r:id="rId9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7DC" w:rsidRDefault="00F127DC">
      <w:pPr>
        <w:spacing w:after="0" w:line="240" w:lineRule="auto"/>
      </w:pPr>
      <w:r>
        <w:separator/>
      </w:r>
    </w:p>
  </w:endnote>
  <w:endnote w:type="continuationSeparator" w:id="0">
    <w:p w:rsidR="00F127DC" w:rsidRDefault="00F1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5E9" w:rsidRDefault="00F127DC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4B38">
      <w:rPr>
        <w:noProof/>
        <w:lang w:eastAsia="zh-CN"/>
      </w:rPr>
      <w:t>3</w:t>
    </w:r>
    <w:r>
      <w:rPr>
        <w:lang w:eastAsia="zh-CN"/>
      </w:rPr>
      <w:fldChar w:fldCharType="end"/>
    </w:r>
  </w:p>
  <w:p w:rsidR="009E75E9" w:rsidRDefault="009E75E9">
    <w:pPr>
      <w:pStyle w:val="ad"/>
    </w:pPr>
  </w:p>
  <w:p w:rsidR="009E75E9" w:rsidRDefault="009E75E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7DC" w:rsidRDefault="00F127DC">
      <w:pPr>
        <w:spacing w:after="0" w:line="240" w:lineRule="auto"/>
      </w:pPr>
      <w:r>
        <w:separator/>
      </w:r>
    </w:p>
  </w:footnote>
  <w:footnote w:type="continuationSeparator" w:id="0">
    <w:p w:rsidR="00F127DC" w:rsidRDefault="00F127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266F577"/>
    <w:multiLevelType w:val="singleLevel"/>
    <w:tmpl w:val="C266F5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2FA64178"/>
    <w:multiLevelType w:val="multilevel"/>
    <w:tmpl w:val="2FA64178"/>
    <w:lvl w:ilvl="0">
      <w:start w:val="3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0D829C"/>
    <w:multiLevelType w:val="singleLevel"/>
    <w:tmpl w:val="5A0D829C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1BEA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89F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23A"/>
    <w:rsid w:val="000363C0"/>
    <w:rsid w:val="000364F6"/>
    <w:rsid w:val="00036A3C"/>
    <w:rsid w:val="000372A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780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A64"/>
    <w:rsid w:val="00053C82"/>
    <w:rsid w:val="0005405D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25FD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53B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38D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088F"/>
    <w:rsid w:val="001C1034"/>
    <w:rsid w:val="001C1358"/>
    <w:rsid w:val="001C16B7"/>
    <w:rsid w:val="001C16F9"/>
    <w:rsid w:val="001C1B4C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E77C9"/>
    <w:rsid w:val="001F0925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435"/>
    <w:rsid w:val="0020084F"/>
    <w:rsid w:val="002009EA"/>
    <w:rsid w:val="00200BC4"/>
    <w:rsid w:val="00200FD2"/>
    <w:rsid w:val="002016F8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5098"/>
    <w:rsid w:val="00225181"/>
    <w:rsid w:val="00225E97"/>
    <w:rsid w:val="00227F54"/>
    <w:rsid w:val="0023016B"/>
    <w:rsid w:val="00230D24"/>
    <w:rsid w:val="0023121F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DA7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A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6D3E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730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64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5EDD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BD9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958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3F7645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166C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8C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1D1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027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A75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53E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65D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AE0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5A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7D4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45DB"/>
    <w:rsid w:val="0051560E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1BA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72B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0B6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0E7C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FC8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BCB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A01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4B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6FFA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3D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5EE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2F83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332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3A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078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6FF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3782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3E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43D"/>
    <w:rsid w:val="007C7496"/>
    <w:rsid w:val="007C7E0A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C04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8F"/>
    <w:rsid w:val="00837ACA"/>
    <w:rsid w:val="00837F1B"/>
    <w:rsid w:val="0084020C"/>
    <w:rsid w:val="008406F5"/>
    <w:rsid w:val="008409EF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4D2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ABE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33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147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78E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A09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BF4"/>
    <w:rsid w:val="008F5CA1"/>
    <w:rsid w:val="008F5E92"/>
    <w:rsid w:val="008F6504"/>
    <w:rsid w:val="008F67F6"/>
    <w:rsid w:val="008F68FD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17E"/>
    <w:rsid w:val="00974429"/>
    <w:rsid w:val="00975E21"/>
    <w:rsid w:val="00976058"/>
    <w:rsid w:val="00976D19"/>
    <w:rsid w:val="00976FF4"/>
    <w:rsid w:val="009770B4"/>
    <w:rsid w:val="009779FF"/>
    <w:rsid w:val="00977F29"/>
    <w:rsid w:val="00980074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9A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2F9D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D24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8AC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5E9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BE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4A6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2F2F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AB6"/>
    <w:rsid w:val="00A63C4F"/>
    <w:rsid w:val="00A63FF0"/>
    <w:rsid w:val="00A648DA"/>
    <w:rsid w:val="00A64C22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474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0F0"/>
    <w:rsid w:val="00AB6623"/>
    <w:rsid w:val="00AB6762"/>
    <w:rsid w:val="00AB7195"/>
    <w:rsid w:val="00AB7542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67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07F73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C7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BBC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3C36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291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7AF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1BC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7F0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5F7A"/>
    <w:rsid w:val="00C76480"/>
    <w:rsid w:val="00C779FF"/>
    <w:rsid w:val="00C77F17"/>
    <w:rsid w:val="00C77F3A"/>
    <w:rsid w:val="00C809BF"/>
    <w:rsid w:val="00C80D2E"/>
    <w:rsid w:val="00C80EB2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39D"/>
    <w:rsid w:val="00CA18C9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1F63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1DD4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1A0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99B"/>
    <w:rsid w:val="00D82F86"/>
    <w:rsid w:val="00D831AC"/>
    <w:rsid w:val="00D8334A"/>
    <w:rsid w:val="00D83439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0EBA"/>
    <w:rsid w:val="00DA11EC"/>
    <w:rsid w:val="00DA1B2D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02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A0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6E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871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6ED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B38"/>
    <w:rsid w:val="00EB4C57"/>
    <w:rsid w:val="00EB4F02"/>
    <w:rsid w:val="00EB60B7"/>
    <w:rsid w:val="00EB613B"/>
    <w:rsid w:val="00EB6682"/>
    <w:rsid w:val="00EB6F41"/>
    <w:rsid w:val="00EB75E9"/>
    <w:rsid w:val="00EB78F4"/>
    <w:rsid w:val="00EB7F27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0E6C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6F94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990"/>
    <w:rsid w:val="00EF3CE5"/>
    <w:rsid w:val="00EF3EE9"/>
    <w:rsid w:val="00EF40D0"/>
    <w:rsid w:val="00EF41D3"/>
    <w:rsid w:val="00EF43A7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7D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484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BF9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546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411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07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BE7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623DF4"/>
    <w:rsid w:val="0192100B"/>
    <w:rsid w:val="01E376C5"/>
    <w:rsid w:val="01F90A2A"/>
    <w:rsid w:val="01F93655"/>
    <w:rsid w:val="021101A3"/>
    <w:rsid w:val="022B0E5C"/>
    <w:rsid w:val="0255495D"/>
    <w:rsid w:val="028B37F7"/>
    <w:rsid w:val="02EB1A31"/>
    <w:rsid w:val="0306050F"/>
    <w:rsid w:val="036B29AA"/>
    <w:rsid w:val="03747821"/>
    <w:rsid w:val="03DC6EBF"/>
    <w:rsid w:val="03ED4AC3"/>
    <w:rsid w:val="040E4833"/>
    <w:rsid w:val="04447C19"/>
    <w:rsid w:val="0469222B"/>
    <w:rsid w:val="04E954F9"/>
    <w:rsid w:val="054853E8"/>
    <w:rsid w:val="055E3F49"/>
    <w:rsid w:val="057B0787"/>
    <w:rsid w:val="05AE407B"/>
    <w:rsid w:val="05D530B9"/>
    <w:rsid w:val="06D767B9"/>
    <w:rsid w:val="07132FC2"/>
    <w:rsid w:val="07811C6E"/>
    <w:rsid w:val="07B33B42"/>
    <w:rsid w:val="07F904E5"/>
    <w:rsid w:val="08402E48"/>
    <w:rsid w:val="08436133"/>
    <w:rsid w:val="086B53B3"/>
    <w:rsid w:val="08B30835"/>
    <w:rsid w:val="08D466BD"/>
    <w:rsid w:val="08ED0BA9"/>
    <w:rsid w:val="0960509A"/>
    <w:rsid w:val="096F0486"/>
    <w:rsid w:val="097E1234"/>
    <w:rsid w:val="09A14A96"/>
    <w:rsid w:val="09A64982"/>
    <w:rsid w:val="09C70B66"/>
    <w:rsid w:val="09CA74D8"/>
    <w:rsid w:val="0A080774"/>
    <w:rsid w:val="0A085DE9"/>
    <w:rsid w:val="0A1039CB"/>
    <w:rsid w:val="0A130914"/>
    <w:rsid w:val="0A284254"/>
    <w:rsid w:val="0A5A0CCD"/>
    <w:rsid w:val="0A77387C"/>
    <w:rsid w:val="0A99506A"/>
    <w:rsid w:val="0AD82BEF"/>
    <w:rsid w:val="0B2619C6"/>
    <w:rsid w:val="0B6B426C"/>
    <w:rsid w:val="0B9E0B65"/>
    <w:rsid w:val="0BFD0200"/>
    <w:rsid w:val="0C29592D"/>
    <w:rsid w:val="0CA002A4"/>
    <w:rsid w:val="0CBB5C02"/>
    <w:rsid w:val="0CCC39BF"/>
    <w:rsid w:val="0CDA27D2"/>
    <w:rsid w:val="0D797B8B"/>
    <w:rsid w:val="0D8C1EFD"/>
    <w:rsid w:val="0D966635"/>
    <w:rsid w:val="0DD77777"/>
    <w:rsid w:val="0DDB4934"/>
    <w:rsid w:val="0EF24ACB"/>
    <w:rsid w:val="0F72150A"/>
    <w:rsid w:val="0FD60E0E"/>
    <w:rsid w:val="0FE353A5"/>
    <w:rsid w:val="10531E29"/>
    <w:rsid w:val="105D13C1"/>
    <w:rsid w:val="10B14313"/>
    <w:rsid w:val="10B776CF"/>
    <w:rsid w:val="10DB0B79"/>
    <w:rsid w:val="1136212B"/>
    <w:rsid w:val="114617FE"/>
    <w:rsid w:val="1157064C"/>
    <w:rsid w:val="11835746"/>
    <w:rsid w:val="11882638"/>
    <w:rsid w:val="119F24E3"/>
    <w:rsid w:val="11C10A4A"/>
    <w:rsid w:val="11D972EE"/>
    <w:rsid w:val="123922F2"/>
    <w:rsid w:val="12BB6307"/>
    <w:rsid w:val="12D76DA2"/>
    <w:rsid w:val="1347637A"/>
    <w:rsid w:val="13580386"/>
    <w:rsid w:val="13597B72"/>
    <w:rsid w:val="137C5099"/>
    <w:rsid w:val="13915EB9"/>
    <w:rsid w:val="13E9472A"/>
    <w:rsid w:val="1445203A"/>
    <w:rsid w:val="146F1C00"/>
    <w:rsid w:val="14B25077"/>
    <w:rsid w:val="157011E0"/>
    <w:rsid w:val="15BC7C62"/>
    <w:rsid w:val="15CB01DE"/>
    <w:rsid w:val="15E36279"/>
    <w:rsid w:val="161816D7"/>
    <w:rsid w:val="16855DB1"/>
    <w:rsid w:val="16E407C2"/>
    <w:rsid w:val="170C14B3"/>
    <w:rsid w:val="174F7219"/>
    <w:rsid w:val="1768135A"/>
    <w:rsid w:val="17A82B0F"/>
    <w:rsid w:val="17BE362F"/>
    <w:rsid w:val="17CB4230"/>
    <w:rsid w:val="17D770BC"/>
    <w:rsid w:val="17E04D27"/>
    <w:rsid w:val="181A3715"/>
    <w:rsid w:val="188B2739"/>
    <w:rsid w:val="18A94EE9"/>
    <w:rsid w:val="18B963F9"/>
    <w:rsid w:val="18CF6C4A"/>
    <w:rsid w:val="18D57057"/>
    <w:rsid w:val="18E84AA6"/>
    <w:rsid w:val="1916726C"/>
    <w:rsid w:val="19261A39"/>
    <w:rsid w:val="194D7DD7"/>
    <w:rsid w:val="19750C6F"/>
    <w:rsid w:val="198F45DD"/>
    <w:rsid w:val="19D264B4"/>
    <w:rsid w:val="19EF589C"/>
    <w:rsid w:val="1A42499B"/>
    <w:rsid w:val="1AA26902"/>
    <w:rsid w:val="1AB00207"/>
    <w:rsid w:val="1ABE7D37"/>
    <w:rsid w:val="1AC1475C"/>
    <w:rsid w:val="1B1B27AF"/>
    <w:rsid w:val="1C215368"/>
    <w:rsid w:val="1C496310"/>
    <w:rsid w:val="1C4A7B66"/>
    <w:rsid w:val="1C5D4224"/>
    <w:rsid w:val="1CE646EF"/>
    <w:rsid w:val="1DDB3684"/>
    <w:rsid w:val="1E5541DD"/>
    <w:rsid w:val="1EA36749"/>
    <w:rsid w:val="1F5F2E56"/>
    <w:rsid w:val="1F7F1019"/>
    <w:rsid w:val="1F9675F9"/>
    <w:rsid w:val="1FF037A6"/>
    <w:rsid w:val="200414A7"/>
    <w:rsid w:val="2043570D"/>
    <w:rsid w:val="205516BE"/>
    <w:rsid w:val="208166FD"/>
    <w:rsid w:val="20924364"/>
    <w:rsid w:val="209E0CEA"/>
    <w:rsid w:val="2112523A"/>
    <w:rsid w:val="215C24FD"/>
    <w:rsid w:val="21687EA0"/>
    <w:rsid w:val="216D33DF"/>
    <w:rsid w:val="2170544A"/>
    <w:rsid w:val="21891057"/>
    <w:rsid w:val="219220BA"/>
    <w:rsid w:val="21E23CAE"/>
    <w:rsid w:val="2249345C"/>
    <w:rsid w:val="22A129F3"/>
    <w:rsid w:val="23516E93"/>
    <w:rsid w:val="237960DC"/>
    <w:rsid w:val="23A15217"/>
    <w:rsid w:val="23AD60D7"/>
    <w:rsid w:val="23BA4644"/>
    <w:rsid w:val="244501B7"/>
    <w:rsid w:val="245743B5"/>
    <w:rsid w:val="247513E0"/>
    <w:rsid w:val="247914F7"/>
    <w:rsid w:val="24CD4542"/>
    <w:rsid w:val="24D80D0E"/>
    <w:rsid w:val="252C1DFE"/>
    <w:rsid w:val="256342A7"/>
    <w:rsid w:val="25635B22"/>
    <w:rsid w:val="25A102FE"/>
    <w:rsid w:val="25B81417"/>
    <w:rsid w:val="25BB704A"/>
    <w:rsid w:val="25FE407C"/>
    <w:rsid w:val="26434C04"/>
    <w:rsid w:val="265C2013"/>
    <w:rsid w:val="26894387"/>
    <w:rsid w:val="26A93C31"/>
    <w:rsid w:val="26D4632B"/>
    <w:rsid w:val="273A3CCD"/>
    <w:rsid w:val="275470A4"/>
    <w:rsid w:val="28425FD1"/>
    <w:rsid w:val="28650795"/>
    <w:rsid w:val="28840AAD"/>
    <w:rsid w:val="28954ED3"/>
    <w:rsid w:val="28B52071"/>
    <w:rsid w:val="2908052C"/>
    <w:rsid w:val="298F53E6"/>
    <w:rsid w:val="29937C67"/>
    <w:rsid w:val="29BE1728"/>
    <w:rsid w:val="29C36304"/>
    <w:rsid w:val="2A371864"/>
    <w:rsid w:val="2ADA009F"/>
    <w:rsid w:val="2AEB310F"/>
    <w:rsid w:val="2B0428DA"/>
    <w:rsid w:val="2B20597D"/>
    <w:rsid w:val="2B377205"/>
    <w:rsid w:val="2BB52FB9"/>
    <w:rsid w:val="2BBD31DA"/>
    <w:rsid w:val="2BC44501"/>
    <w:rsid w:val="2BD43E92"/>
    <w:rsid w:val="2C282ED7"/>
    <w:rsid w:val="2C693C27"/>
    <w:rsid w:val="2CEB3652"/>
    <w:rsid w:val="2CF1511F"/>
    <w:rsid w:val="2D093C9F"/>
    <w:rsid w:val="2D3B7916"/>
    <w:rsid w:val="2D3C3CD7"/>
    <w:rsid w:val="2DB600C3"/>
    <w:rsid w:val="2DC650DD"/>
    <w:rsid w:val="2DE87A40"/>
    <w:rsid w:val="2DFB4845"/>
    <w:rsid w:val="2E173F56"/>
    <w:rsid w:val="2E29079C"/>
    <w:rsid w:val="2E471A5D"/>
    <w:rsid w:val="2E48670E"/>
    <w:rsid w:val="2E7B6939"/>
    <w:rsid w:val="2F341996"/>
    <w:rsid w:val="2F413E0F"/>
    <w:rsid w:val="2FA352C2"/>
    <w:rsid w:val="2FA97745"/>
    <w:rsid w:val="30EC4B0C"/>
    <w:rsid w:val="30ED594E"/>
    <w:rsid w:val="30F53179"/>
    <w:rsid w:val="311528DE"/>
    <w:rsid w:val="31F16C5A"/>
    <w:rsid w:val="32011584"/>
    <w:rsid w:val="323D35EB"/>
    <w:rsid w:val="324700CE"/>
    <w:rsid w:val="3255329E"/>
    <w:rsid w:val="33774D25"/>
    <w:rsid w:val="33965837"/>
    <w:rsid w:val="339F0BDE"/>
    <w:rsid w:val="33AA50E6"/>
    <w:rsid w:val="33B43DDB"/>
    <w:rsid w:val="342A5DCE"/>
    <w:rsid w:val="34443420"/>
    <w:rsid w:val="34561EE4"/>
    <w:rsid w:val="348C273F"/>
    <w:rsid w:val="34942631"/>
    <w:rsid w:val="34C31F31"/>
    <w:rsid w:val="34CC1C1E"/>
    <w:rsid w:val="351D219B"/>
    <w:rsid w:val="3522430E"/>
    <w:rsid w:val="352D17CD"/>
    <w:rsid w:val="352E0F08"/>
    <w:rsid w:val="35462691"/>
    <w:rsid w:val="35B23EC2"/>
    <w:rsid w:val="35F72C7E"/>
    <w:rsid w:val="35FF1ADE"/>
    <w:rsid w:val="360258DD"/>
    <w:rsid w:val="36304111"/>
    <w:rsid w:val="36623680"/>
    <w:rsid w:val="36A4320C"/>
    <w:rsid w:val="36BE0B14"/>
    <w:rsid w:val="36C902E2"/>
    <w:rsid w:val="36D53214"/>
    <w:rsid w:val="37075BC6"/>
    <w:rsid w:val="372B16AC"/>
    <w:rsid w:val="38351142"/>
    <w:rsid w:val="39315B32"/>
    <w:rsid w:val="39E637F4"/>
    <w:rsid w:val="3A2071EB"/>
    <w:rsid w:val="3A9E48B4"/>
    <w:rsid w:val="3B0C3BD9"/>
    <w:rsid w:val="3B3165C4"/>
    <w:rsid w:val="3B6B0E42"/>
    <w:rsid w:val="3BE15BDA"/>
    <w:rsid w:val="3C512A11"/>
    <w:rsid w:val="3C7C78BC"/>
    <w:rsid w:val="3C8B2C9C"/>
    <w:rsid w:val="3C983BA7"/>
    <w:rsid w:val="3D6C71F9"/>
    <w:rsid w:val="3D8F09F2"/>
    <w:rsid w:val="3DAD6357"/>
    <w:rsid w:val="3DC13DCB"/>
    <w:rsid w:val="3DE9747B"/>
    <w:rsid w:val="3F334234"/>
    <w:rsid w:val="3F9E06E5"/>
    <w:rsid w:val="3FA57680"/>
    <w:rsid w:val="3FCA54FF"/>
    <w:rsid w:val="40053AEF"/>
    <w:rsid w:val="4015108D"/>
    <w:rsid w:val="406F7959"/>
    <w:rsid w:val="40B1111B"/>
    <w:rsid w:val="41245CF6"/>
    <w:rsid w:val="419068A2"/>
    <w:rsid w:val="4192041B"/>
    <w:rsid w:val="41A50E7A"/>
    <w:rsid w:val="41FB6553"/>
    <w:rsid w:val="42167E2D"/>
    <w:rsid w:val="42185649"/>
    <w:rsid w:val="424E280C"/>
    <w:rsid w:val="429E3367"/>
    <w:rsid w:val="43710269"/>
    <w:rsid w:val="43A632D7"/>
    <w:rsid w:val="43AA1791"/>
    <w:rsid w:val="43E95EDC"/>
    <w:rsid w:val="43F15ABD"/>
    <w:rsid w:val="44B72069"/>
    <w:rsid w:val="44C21817"/>
    <w:rsid w:val="44C96832"/>
    <w:rsid w:val="45C81B33"/>
    <w:rsid w:val="45C96366"/>
    <w:rsid w:val="46345E74"/>
    <w:rsid w:val="46E52D55"/>
    <w:rsid w:val="470A789B"/>
    <w:rsid w:val="470E300A"/>
    <w:rsid w:val="47A71574"/>
    <w:rsid w:val="47BF2FE6"/>
    <w:rsid w:val="47DC22D0"/>
    <w:rsid w:val="48363D2A"/>
    <w:rsid w:val="489F6AE8"/>
    <w:rsid w:val="48A7343B"/>
    <w:rsid w:val="497C5D68"/>
    <w:rsid w:val="49AD07BA"/>
    <w:rsid w:val="49E55119"/>
    <w:rsid w:val="4A2328EA"/>
    <w:rsid w:val="4AD037CB"/>
    <w:rsid w:val="4B033A12"/>
    <w:rsid w:val="4B573495"/>
    <w:rsid w:val="4B5A3F42"/>
    <w:rsid w:val="4B801B9C"/>
    <w:rsid w:val="4BD923A6"/>
    <w:rsid w:val="4BE61521"/>
    <w:rsid w:val="4C1732C6"/>
    <w:rsid w:val="4C1D24E0"/>
    <w:rsid w:val="4D001D44"/>
    <w:rsid w:val="4D301185"/>
    <w:rsid w:val="4D5A5F53"/>
    <w:rsid w:val="4D6A5ADE"/>
    <w:rsid w:val="4D6F1420"/>
    <w:rsid w:val="4D97617F"/>
    <w:rsid w:val="4DF7667D"/>
    <w:rsid w:val="4E7B36E9"/>
    <w:rsid w:val="4ED4056B"/>
    <w:rsid w:val="4EE1346C"/>
    <w:rsid w:val="4EEB270E"/>
    <w:rsid w:val="4F1D371F"/>
    <w:rsid w:val="4F572D9B"/>
    <w:rsid w:val="4F691C19"/>
    <w:rsid w:val="4F80767E"/>
    <w:rsid w:val="4F8D46D4"/>
    <w:rsid w:val="4FC37AD4"/>
    <w:rsid w:val="4FF558B5"/>
    <w:rsid w:val="50255EDA"/>
    <w:rsid w:val="504D6E46"/>
    <w:rsid w:val="50986DD4"/>
    <w:rsid w:val="50DA2806"/>
    <w:rsid w:val="50E21BB2"/>
    <w:rsid w:val="5107005C"/>
    <w:rsid w:val="511516DE"/>
    <w:rsid w:val="51461C49"/>
    <w:rsid w:val="514C1DA7"/>
    <w:rsid w:val="515A1CDE"/>
    <w:rsid w:val="51A62A14"/>
    <w:rsid w:val="51CC3498"/>
    <w:rsid w:val="51ED7CD0"/>
    <w:rsid w:val="524D679C"/>
    <w:rsid w:val="52582D49"/>
    <w:rsid w:val="526A12AF"/>
    <w:rsid w:val="526C1D2D"/>
    <w:rsid w:val="526D442F"/>
    <w:rsid w:val="52D67E1C"/>
    <w:rsid w:val="52FB303E"/>
    <w:rsid w:val="534A0FC7"/>
    <w:rsid w:val="535F1327"/>
    <w:rsid w:val="5371087E"/>
    <w:rsid w:val="539670BE"/>
    <w:rsid w:val="53D27B02"/>
    <w:rsid w:val="5424586C"/>
    <w:rsid w:val="54377E46"/>
    <w:rsid w:val="54AC7E8C"/>
    <w:rsid w:val="54AE2043"/>
    <w:rsid w:val="54D80546"/>
    <w:rsid w:val="54EB0DAC"/>
    <w:rsid w:val="554124AE"/>
    <w:rsid w:val="555D6E15"/>
    <w:rsid w:val="55855731"/>
    <w:rsid w:val="5597262C"/>
    <w:rsid w:val="55DA3793"/>
    <w:rsid w:val="564B5C84"/>
    <w:rsid w:val="565B25DA"/>
    <w:rsid w:val="565C5CE0"/>
    <w:rsid w:val="56612D48"/>
    <w:rsid w:val="56636EF2"/>
    <w:rsid w:val="56715530"/>
    <w:rsid w:val="56F41F92"/>
    <w:rsid w:val="56F5520A"/>
    <w:rsid w:val="57061C4A"/>
    <w:rsid w:val="57446D9D"/>
    <w:rsid w:val="57896011"/>
    <w:rsid w:val="57960862"/>
    <w:rsid w:val="57BC4C9C"/>
    <w:rsid w:val="57DD4892"/>
    <w:rsid w:val="58127D32"/>
    <w:rsid w:val="589A414C"/>
    <w:rsid w:val="59492236"/>
    <w:rsid w:val="5993415C"/>
    <w:rsid w:val="5A2576FA"/>
    <w:rsid w:val="5A4C3CB9"/>
    <w:rsid w:val="5AAF5BF2"/>
    <w:rsid w:val="5AC04993"/>
    <w:rsid w:val="5AC703B1"/>
    <w:rsid w:val="5B113F7B"/>
    <w:rsid w:val="5C631D80"/>
    <w:rsid w:val="5C645C06"/>
    <w:rsid w:val="5C86674C"/>
    <w:rsid w:val="5C93080E"/>
    <w:rsid w:val="5C9D5378"/>
    <w:rsid w:val="5CD5204F"/>
    <w:rsid w:val="5D0513F5"/>
    <w:rsid w:val="5D1A5393"/>
    <w:rsid w:val="5DF9398D"/>
    <w:rsid w:val="5E095FD6"/>
    <w:rsid w:val="5E2E2B62"/>
    <w:rsid w:val="5E5D258D"/>
    <w:rsid w:val="5E7C261F"/>
    <w:rsid w:val="5F25133A"/>
    <w:rsid w:val="5F3D03A7"/>
    <w:rsid w:val="5FCE51B0"/>
    <w:rsid w:val="5FD1581F"/>
    <w:rsid w:val="5FE151FD"/>
    <w:rsid w:val="60637695"/>
    <w:rsid w:val="60A83A43"/>
    <w:rsid w:val="60E174E9"/>
    <w:rsid w:val="61221A85"/>
    <w:rsid w:val="6126793C"/>
    <w:rsid w:val="61306031"/>
    <w:rsid w:val="61415E1E"/>
    <w:rsid w:val="616D3845"/>
    <w:rsid w:val="61786B69"/>
    <w:rsid w:val="619706BD"/>
    <w:rsid w:val="61A81E75"/>
    <w:rsid w:val="61BA6A34"/>
    <w:rsid w:val="61E544C5"/>
    <w:rsid w:val="61FF6957"/>
    <w:rsid w:val="62095C8A"/>
    <w:rsid w:val="621213C4"/>
    <w:rsid w:val="62A26D46"/>
    <w:rsid w:val="62D40767"/>
    <w:rsid w:val="62F52B28"/>
    <w:rsid w:val="63064220"/>
    <w:rsid w:val="633356A8"/>
    <w:rsid w:val="63B520B6"/>
    <w:rsid w:val="6403179D"/>
    <w:rsid w:val="643D601E"/>
    <w:rsid w:val="64584A68"/>
    <w:rsid w:val="653203C4"/>
    <w:rsid w:val="66AA76F2"/>
    <w:rsid w:val="66D3237B"/>
    <w:rsid w:val="66EA1AB0"/>
    <w:rsid w:val="67166EC5"/>
    <w:rsid w:val="67210094"/>
    <w:rsid w:val="67336828"/>
    <w:rsid w:val="673F1301"/>
    <w:rsid w:val="674E4E3C"/>
    <w:rsid w:val="675E1C55"/>
    <w:rsid w:val="6763602F"/>
    <w:rsid w:val="676A31F2"/>
    <w:rsid w:val="67EC2A68"/>
    <w:rsid w:val="6828259B"/>
    <w:rsid w:val="686167C2"/>
    <w:rsid w:val="6886754E"/>
    <w:rsid w:val="68C107A0"/>
    <w:rsid w:val="68E36878"/>
    <w:rsid w:val="68E432F2"/>
    <w:rsid w:val="69264DC1"/>
    <w:rsid w:val="69545358"/>
    <w:rsid w:val="69766406"/>
    <w:rsid w:val="698A76FD"/>
    <w:rsid w:val="69D54202"/>
    <w:rsid w:val="6A5F2E7C"/>
    <w:rsid w:val="6A727DBB"/>
    <w:rsid w:val="6AC16F86"/>
    <w:rsid w:val="6B474827"/>
    <w:rsid w:val="6B7211DE"/>
    <w:rsid w:val="6BAC63E0"/>
    <w:rsid w:val="6BE43193"/>
    <w:rsid w:val="6BE576C4"/>
    <w:rsid w:val="6C10321D"/>
    <w:rsid w:val="6C300048"/>
    <w:rsid w:val="6C7B61E7"/>
    <w:rsid w:val="6CA2751B"/>
    <w:rsid w:val="6D1839B1"/>
    <w:rsid w:val="6DFC695B"/>
    <w:rsid w:val="6E493C39"/>
    <w:rsid w:val="6E615706"/>
    <w:rsid w:val="6EB67A57"/>
    <w:rsid w:val="6EE558A8"/>
    <w:rsid w:val="6F0672EA"/>
    <w:rsid w:val="6F0F7A2B"/>
    <w:rsid w:val="6F7134B0"/>
    <w:rsid w:val="6F7B76F7"/>
    <w:rsid w:val="703B3BFC"/>
    <w:rsid w:val="703C6A3D"/>
    <w:rsid w:val="70456902"/>
    <w:rsid w:val="70997CB9"/>
    <w:rsid w:val="70F63AB2"/>
    <w:rsid w:val="715E244A"/>
    <w:rsid w:val="716F21B5"/>
    <w:rsid w:val="71C67974"/>
    <w:rsid w:val="72286215"/>
    <w:rsid w:val="72B165AA"/>
    <w:rsid w:val="73367C58"/>
    <w:rsid w:val="73797A10"/>
    <w:rsid w:val="738B2637"/>
    <w:rsid w:val="738F4212"/>
    <w:rsid w:val="73BD0467"/>
    <w:rsid w:val="74073289"/>
    <w:rsid w:val="7413358A"/>
    <w:rsid w:val="742644C7"/>
    <w:rsid w:val="74384C9C"/>
    <w:rsid w:val="74627863"/>
    <w:rsid w:val="74963132"/>
    <w:rsid w:val="74DA4881"/>
    <w:rsid w:val="74E124F8"/>
    <w:rsid w:val="750220D2"/>
    <w:rsid w:val="75666FB1"/>
    <w:rsid w:val="75B26173"/>
    <w:rsid w:val="76175062"/>
    <w:rsid w:val="763F162C"/>
    <w:rsid w:val="765C2AC4"/>
    <w:rsid w:val="76617C75"/>
    <w:rsid w:val="767E34F8"/>
    <w:rsid w:val="76F118E8"/>
    <w:rsid w:val="76F84EF7"/>
    <w:rsid w:val="772E1233"/>
    <w:rsid w:val="77741248"/>
    <w:rsid w:val="77787755"/>
    <w:rsid w:val="77A01712"/>
    <w:rsid w:val="77C63936"/>
    <w:rsid w:val="78A22616"/>
    <w:rsid w:val="78C54FC9"/>
    <w:rsid w:val="78C95688"/>
    <w:rsid w:val="78D40B6A"/>
    <w:rsid w:val="78E439FC"/>
    <w:rsid w:val="79100A4F"/>
    <w:rsid w:val="791453EC"/>
    <w:rsid w:val="797F0960"/>
    <w:rsid w:val="79B369B7"/>
    <w:rsid w:val="79C81B63"/>
    <w:rsid w:val="7A072E1B"/>
    <w:rsid w:val="7A0F12E6"/>
    <w:rsid w:val="7A3113B9"/>
    <w:rsid w:val="7A443267"/>
    <w:rsid w:val="7A824C3A"/>
    <w:rsid w:val="7AC258A1"/>
    <w:rsid w:val="7B022868"/>
    <w:rsid w:val="7B3103E1"/>
    <w:rsid w:val="7BB20DE2"/>
    <w:rsid w:val="7BC7231A"/>
    <w:rsid w:val="7BEA7F06"/>
    <w:rsid w:val="7C1576DC"/>
    <w:rsid w:val="7C461BA7"/>
    <w:rsid w:val="7C6F7A0C"/>
    <w:rsid w:val="7C730D95"/>
    <w:rsid w:val="7C811ABB"/>
    <w:rsid w:val="7D3A1E9E"/>
    <w:rsid w:val="7D5A2BE8"/>
    <w:rsid w:val="7D6E5376"/>
    <w:rsid w:val="7D885D6B"/>
    <w:rsid w:val="7D977A1D"/>
    <w:rsid w:val="7D9E0355"/>
    <w:rsid w:val="7DC51FB6"/>
    <w:rsid w:val="7DE03C2C"/>
    <w:rsid w:val="7E3C48CF"/>
    <w:rsid w:val="7E43770C"/>
    <w:rsid w:val="7E6B77EA"/>
    <w:rsid w:val="7EC218D0"/>
    <w:rsid w:val="7F0D67DE"/>
    <w:rsid w:val="7F423106"/>
    <w:rsid w:val="7F635213"/>
    <w:rsid w:val="7F72403E"/>
    <w:rsid w:val="7F734F41"/>
    <w:rsid w:val="7F99753A"/>
    <w:rsid w:val="7F9C3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10CDAA-65D4-4091-9B11-5C107FB01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Lines="50" w:after="120"/>
      <w:outlineLvl w:val="0"/>
    </w:pPr>
    <w:rPr>
      <w:rFonts w:ascii="Arial" w:eastAsia="宋体" w:hAnsi="Arial"/>
      <w:sz w:val="28"/>
      <w:szCs w:val="22"/>
      <w:lang w:eastAsia="zh-CN"/>
    </w:rPr>
  </w:style>
  <w:style w:type="paragraph" w:styleId="2">
    <w:name w:val="heading 2"/>
    <w:basedOn w:val="1"/>
    <w:next w:val="a"/>
    <w:link w:val="2Char"/>
    <w:qFormat/>
    <w:pPr>
      <w:tabs>
        <w:tab w:val="clear" w:pos="432"/>
        <w:tab w:val="left" w:pos="576"/>
      </w:tabs>
      <w:spacing w:before="240" w:after="60"/>
      <w:ind w:left="576" w:hanging="576"/>
      <w:outlineLvl w:val="1"/>
    </w:pPr>
    <w:rPr>
      <w:rFonts w:cs="Arial"/>
      <w:bCs/>
      <w:iCs/>
      <w:szCs w:val="28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720"/>
      </w:tabs>
      <w:spacing w:before="240" w:after="60"/>
      <w:ind w:left="720" w:hanging="72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List Number"/>
    <w:basedOn w:val="a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7">
    <w:name w:val="caption"/>
    <w:basedOn w:val="a"/>
    <w:next w:val="a"/>
    <w:link w:val="Char1"/>
    <w:qFormat/>
    <w:rPr>
      <w:b/>
      <w:bCs/>
    </w:rPr>
  </w:style>
  <w:style w:type="paragraph" w:styleId="a8">
    <w:name w:val="List Bullet"/>
    <w:basedOn w:val="a9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9">
    <w:name w:val="Body Text"/>
    <w:basedOn w:val="a"/>
    <w:link w:val="Char2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qFormat/>
    <w:pPr>
      <w:spacing w:after="120"/>
      <w:ind w:left="283"/>
    </w:pPr>
  </w:style>
  <w:style w:type="paragraph" w:styleId="ac">
    <w:name w:val="Balloon Text"/>
    <w:basedOn w:val="a"/>
    <w:link w:val="Char3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4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e">
    <w:name w:val="header"/>
    <w:basedOn w:val="a"/>
    <w:link w:val="Char5"/>
    <w:qFormat/>
    <w:pPr>
      <w:widowControl w:val="0"/>
      <w:spacing w:after="200"/>
    </w:pPr>
    <w:rPr>
      <w:rFonts w:ascii="Arial" w:hAnsi="Arial"/>
      <w:b/>
      <w:sz w:val="18"/>
      <w:lang w:val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f">
    <w:name w:val="List"/>
    <w:basedOn w:val="a"/>
    <w:qFormat/>
    <w:pPr>
      <w:ind w:left="283" w:hanging="283"/>
    </w:pPr>
  </w:style>
  <w:style w:type="paragraph" w:styleId="af0">
    <w:name w:val="footnote text"/>
    <w:basedOn w:val="a"/>
    <w:uiPriority w:val="99"/>
    <w:unhideWhenUsed/>
    <w:qFormat/>
    <w:pPr>
      <w:snapToGrid w:val="0"/>
      <w:jc w:val="left"/>
    </w:pPr>
    <w:rPr>
      <w:sz w:val="18"/>
    </w:rPr>
  </w:style>
  <w:style w:type="paragraph" w:styleId="af1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2">
    <w:name w:val="Strong"/>
    <w:basedOn w:val="a1"/>
    <w:uiPriority w:val="22"/>
    <w:qFormat/>
    <w:rPr>
      <w:b/>
      <w:bCs/>
    </w:rPr>
  </w:style>
  <w:style w:type="character" w:styleId="af3">
    <w:name w:val="FollowedHyperlink"/>
    <w:basedOn w:val="a1"/>
    <w:qFormat/>
    <w:rPr>
      <w:color w:val="800080"/>
      <w:u w:val="single"/>
    </w:rPr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1"/>
    <w:unhideWhenUsed/>
    <w:qFormat/>
    <w:rPr>
      <w:sz w:val="16"/>
      <w:szCs w:val="16"/>
    </w:rPr>
  </w:style>
  <w:style w:type="character" w:styleId="af6">
    <w:name w:val="footnote reference"/>
    <w:basedOn w:val="a1"/>
    <w:uiPriority w:val="99"/>
    <w:unhideWhenUsed/>
    <w:qFormat/>
    <w:rPr>
      <w:vertAlign w:val="superscript"/>
    </w:rPr>
  </w:style>
  <w:style w:type="table" w:styleId="af7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1"/>
    <w:link w:val="ac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1">
    <w:name w:val="题注 Char"/>
    <w:basedOn w:val="a1"/>
    <w:link w:val="a7"/>
    <w:qFormat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0">
    <w:name w:val="批注文字 Char"/>
    <w:basedOn w:val="a1"/>
    <w:link w:val="a5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Char5">
    <w:name w:val="页眉 Char"/>
    <w:basedOn w:val="a1"/>
    <w:link w:val="ae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4">
    <w:name w:val="页脚 Char"/>
    <w:basedOn w:val="a1"/>
    <w:link w:val="ad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msoins0">
    <w:name w:val="msoins"/>
    <w:basedOn w:val="a1"/>
    <w:qFormat/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Char6">
    <w:name w:val="列出段落 Char"/>
    <w:link w:val="12"/>
    <w:uiPriority w:val="72"/>
    <w:qFormat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6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af8">
    <w:name w:val="附图正文"/>
    <w:basedOn w:val="a"/>
    <w:qFormat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pPr>
      <w:spacing w:after="200" w:line="276" w:lineRule="auto"/>
    </w:pPr>
    <w:rPr>
      <w:rFonts w:eastAsia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f"/>
    <w:qFormat/>
    <w:pPr>
      <w:tabs>
        <w:tab w:val="left" w:pos="360"/>
      </w:tabs>
      <w:spacing w:after="200" w:line="276" w:lineRule="auto"/>
      <w:ind w:left="360" w:hanging="360"/>
    </w:pPr>
    <w:rPr>
      <w:rFonts w:eastAsia="MS Mincho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Char2">
    <w:name w:val="正文文本 Char"/>
    <w:basedOn w:val="a1"/>
    <w:link w:val="a9"/>
    <w:qFormat/>
    <w:rPr>
      <w:rFonts w:eastAsia="MS Mincho"/>
      <w:lang w:val="en-GB" w:eastAsia="en-US"/>
    </w:rPr>
  </w:style>
  <w:style w:type="paragraph" w:customStyle="1" w:styleId="20">
    <w:name w:val="列出段落2"/>
    <w:basedOn w:val="a"/>
    <w:uiPriority w:val="99"/>
    <w:qFormat/>
    <w:pPr>
      <w:ind w:firstLineChars="200" w:firstLine="420"/>
    </w:pPr>
  </w:style>
  <w:style w:type="paragraph" w:customStyle="1" w:styleId="21">
    <w:name w:val="列出段落21"/>
    <w:basedOn w:val="a"/>
    <w:uiPriority w:val="99"/>
    <w:semiHidden/>
    <w:qFormat/>
    <w:pPr>
      <w:ind w:firstLineChars="200" w:firstLine="420"/>
    </w:pPr>
  </w:style>
  <w:style w:type="character" w:customStyle="1" w:styleId="2Char">
    <w:name w:val="标题 2 Char"/>
    <w:basedOn w:val="a1"/>
    <w:link w:val="2"/>
    <w:qFormat/>
    <w:rPr>
      <w:rFonts w:eastAsia="Times New Roman" w:cs="Arial"/>
      <w:bCs/>
      <w:iCs/>
      <w:szCs w:val="28"/>
      <w:lang w:eastAsia="en-US"/>
    </w:rPr>
  </w:style>
  <w:style w:type="paragraph" w:customStyle="1" w:styleId="ListParagraph2">
    <w:name w:val="List Paragraph2"/>
    <w:basedOn w:val="a"/>
    <w:uiPriority w:val="99"/>
    <w:unhideWhenUsed/>
    <w:qFormat/>
    <w:pPr>
      <w:ind w:firstLineChars="200" w:firstLine="420"/>
    </w:p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Style2">
    <w:name w:val="Style2"/>
    <w:basedOn w:val="a1"/>
    <w:uiPriority w:val="1"/>
    <w:qFormat/>
    <w:rPr>
      <w:rFonts w:ascii="Calibri" w:hAnsi="Calibri" w:cs="Calibri" w:hint="default"/>
      <w:color w:val="00B0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103C03-F435-4082-A51A-731290A9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1064</Words>
  <Characters>6070</Characters>
  <Application>Microsoft Office Word</Application>
  <DocSecurity>0</DocSecurity>
  <Lines>50</Lines>
  <Paragraphs>14</Paragraphs>
  <ScaleCrop>false</ScaleCrop>
  <Company>ZTE</Company>
  <LinksUpToDate>false</LinksUpToDate>
  <CharactersWithSpaces>7120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11</cp:revision>
  <cp:lastPrinted>2011-10-28T07:16:00Z</cp:lastPrinted>
  <dcterms:created xsi:type="dcterms:W3CDTF">2019-01-10T08:14:00Z</dcterms:created>
  <dcterms:modified xsi:type="dcterms:W3CDTF">2019-04-03T02:11:00Z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